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0"/>
        <w:jc w:val="both"/>
        <w:textAlignment w:val="auto"/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w w:val="100"/>
          <w:sz w:val="44"/>
          <w:szCs w:val="44"/>
          <w:lang w:eastAsia="zh-CN"/>
        </w:rPr>
        <w:t>甘肃省企业职工“退休一件事”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w w:val="100"/>
          <w:sz w:val="44"/>
          <w:szCs w:val="44"/>
          <w:lang w:eastAsia="zh-CN"/>
        </w:rPr>
        <w:t>主要业务办理流程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 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依据《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甘肃省企业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职工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“退休一件事”工作方案（试行）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》，结合工作实际，制定本流程。包括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“信息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告知、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申报、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受理、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数据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推送、办理反馈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”等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环节。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shd w:val="clear" w:color="000000" w:fill="FFFFFF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shd w:val="clear" w:color="000000" w:fill="FFFFFF"/>
          <w:lang w:eastAsia="zh-CN"/>
        </w:rPr>
        <w:t>信息</w:t>
      </w:r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shd w:val="clear" w:color="000000" w:fill="FFFFFF"/>
        </w:rPr>
        <w:t>告知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（一）全省各级人社行政部门提前3个月提取符合提前退休人员基础信息反馈参保单位，预审档案资料，核实提前退休人员基本信息。全省各级社保经办机构提前3个月提取拟退休人员基础信息反馈参保单位（个人），预审档案资料，核实退休人员基本信息。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（二）全省各级人社部门通过短信平台向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参保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单位（个人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发送提示短信，提醒参保单位（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）及时在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“甘肃政务服务网/甘快办APP高效办成一件事专栏”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申报办理退休相关事项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。企业职工退休待遇领取资格认定采取参保单位、参保人员承诺制与审核档案相结合的办法，对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提前退休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、视同缴费年限认定等事项各级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人社行政部门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和社保经办机构应线下提前核查档案资料。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</w:rPr>
      </w:pPr>
      <w:r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</w:rPr>
        <w:t>二、</w:t>
      </w:r>
      <w:r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业务</w:t>
      </w:r>
      <w:r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</w:rPr>
        <w:t>申报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w w:val="100"/>
          <w:sz w:val="32"/>
          <w:szCs w:val="32"/>
          <w:shd w:val="clear" w:color="000000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w w:val="100"/>
          <w:sz w:val="32"/>
          <w:szCs w:val="32"/>
          <w:shd w:val="clear" w:color="000000" w:fill="FFFFFF"/>
        </w:rPr>
        <w:t>线上申报：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参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保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单位（个人）收到人社部门提示短信后，应在到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达法定退休年龄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当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月内，通过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“甘肃政务服务网/甘快办APP高效办成一件事专栏”申请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退休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并同步申办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联办事项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。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参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保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单位（个人）登录网站后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填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《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甘肃省企业职工“退休一件事”办理登记表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》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（以下简称《登记表》），选择联办事项后系统跳转至正常退休或提前退休事项，上传要件资料。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16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w w:val="100"/>
          <w:sz w:val="32"/>
          <w:szCs w:val="32"/>
          <w:shd w:val="clear" w:color="000000" w:fill="FFFFFF"/>
          <w:lang w:eastAsia="zh-CN"/>
        </w:rPr>
        <w:t>（二）线下申报：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参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保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单位（个人）收到人社部门提示短信后，应在到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达法定退休年龄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当月内向各级政务服务大厅“高效办成一件事”窗口提交退休申请，并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同步申办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联办事项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”。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在工作人员指导下填写《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登记表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》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，并按规定申报要件资料。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</w:rPr>
      </w:pPr>
      <w:r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三、业务</w:t>
      </w:r>
      <w:r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</w:rPr>
        <w:t>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各级人社行政部门和社保经办机构收到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参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保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单位（个人）填报的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《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登记表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</w:rPr>
        <w:t>》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w w:val="100"/>
          <w:sz w:val="32"/>
          <w:szCs w:val="32"/>
          <w:shd w:val="clear" w:color="000000" w:fill="FFFFFF"/>
          <w:lang w:eastAsia="zh-CN"/>
        </w:rPr>
        <w:t>后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，按业务经办权限受理业务，为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符合按月领取养老金条件的参保人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员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，及时办理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退休待遇资格认定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及养老金计发业务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四、数据推送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人社部门及时将已办理的退休人员相关数据信息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推送至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全省一体化政务服务平台，由全省一体化政务服务平台将退休人员信息推送至联办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部门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五、办理反馈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联办事项责任部门收到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全省一体化政务服务平台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推送的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退休人员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数据信息后，按规定办理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  <w:lang w:eastAsia="zh-CN"/>
        </w:rPr>
        <w:t>。线上办理进度及结果实时反馈全省一体化政务服务平台，并通过“甘肃政务服务网/甘快办APP高效办成一件事专栏”反馈申请单位（个人）；线下办理的由各联办单位在规定时限内反馈申请单位（个人）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shd w:val="clear" w:color="000000" w:fill="FFFFFF"/>
        </w:rPr>
        <w:t>。</w:t>
      </w: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  <w:t xml:space="preserve">  </w:t>
      </w: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  <w:t xml:space="preserve"> </w:t>
      </w: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p>
      <w:pPr>
        <w:autoSpaceDE/>
        <w:autoSpaceDN/>
        <w:snapToGrid/>
        <w:spacing w:before="0" w:after="0" w:line="560" w:lineRule="exact"/>
        <w:ind w:left="0" w:firstLine="0"/>
        <w:jc w:val="left"/>
        <w:rPr>
          <w:rFonts w:hint="eastAsia" w:ascii="仿宋_GB2312" w:hAnsi="仿宋_GB2312" w:eastAsia="仿宋_GB2312" w:cs="仿宋_GB2312"/>
          <w:b w:val="0"/>
          <w:color w:val="333333"/>
          <w:w w:val="100"/>
          <w:sz w:val="32"/>
          <w:szCs w:val="32"/>
          <w:shd w:val="clear" w:color="000000" w:fill="FFFFFF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75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Style w:val="3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3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3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CTUX7IBAABZAwAADgAAAGRycy9lMm9Eb2MueG1srVPNjtMwEL4j8Q6W&#10;7zTZIlAVNV2BVouQECAt+wCuYzeWbI/lcZv0BeANOHHhznP1ORg7TRfY24qLM7/fzDczWV+PzrKD&#10;imjAt/xqUXOmvITO+F3L77/cvlhxhkn4TljwquVHhfx68/zZegiNWkIPtlOREYjHZggt71MKTVWh&#10;7JUTuICgPDk1RCcSqXFXdVEMhO5stazr19UAsQsRpEIk683k5JuCr7WS6ZPWqBKzLafeUnljebf5&#10;rTZr0eyiCL2R5zbEE7pwwngqeoG6EUmwfTSPoJyRERB0WkhwFWhtpCociM1V/Q+bu14EVbjQcDBc&#10;xoT/D1Z+PHyOzHQtf8WZF45WdPr+7fTj1+nnV/Yyj2cI2FDUXaC4NL6FkdY825GMmfWoo8tf4sPI&#10;T4M+XoarxsRkTlotV6uaXJJ8s0L41UN6iJjeKXAsCy2PtL0yVHH4gGkKnUNyNQ+3xtqyQev/MhDm&#10;ZFHlBM7ZmcnUcZbSuB3P9LbQHYndQGfQck93ypl972nK+WJmIc7Cdhb2IZpdX04qV8fwZp+opdJp&#10;rjDBEsOs0P4K1/Ot5QP5Uy9RD3/E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+CTUX7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Style w:val="3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30"/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0"/>
                        <w:rFonts w:hint="eastAsia" w:ascii="宋体" w:hAnsi="宋体" w:eastAsia="宋体" w:cs="宋体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0"/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40v7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Qtp0V54WhF529fz99/nn98YcuXeT5DiA2FPQQKTONrGGnPsz2SMdMeNbr8JUKM&#10;/DTp03W6akxM5qT1ar2uySXJNyuEXz2mB4zpjQLHstBypPWVqYrju5im0DkkV/Nwb6wtK7T+DwNh&#10;ThZVbuCSnZlMHWcpjbvxQm8H3YnYDXQHLfd0qJzZt57GnE9mFnAWdrNwCGj2fbmpXD2G20Oilkqn&#10;ucIESwyzQgssXC/Hli/kd71EPf4S2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sU40v7IB&#10;AABa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dit="readOnly"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42"/>
    <w:rsid w:val="000C5C31"/>
    <w:rsid w:val="001A55A7"/>
    <w:rsid w:val="002E45A1"/>
    <w:rsid w:val="0032028F"/>
    <w:rsid w:val="003B461C"/>
    <w:rsid w:val="00447CE6"/>
    <w:rsid w:val="004C20F5"/>
    <w:rsid w:val="00544375"/>
    <w:rsid w:val="00586CB0"/>
    <w:rsid w:val="006D3E6E"/>
    <w:rsid w:val="00717142"/>
    <w:rsid w:val="008E1B63"/>
    <w:rsid w:val="00B75AAD"/>
    <w:rsid w:val="00D0479F"/>
    <w:rsid w:val="00D9709E"/>
    <w:rsid w:val="00E20C61"/>
    <w:rsid w:val="00E37FAE"/>
    <w:rsid w:val="00EE45E3"/>
    <w:rsid w:val="00F2380F"/>
    <w:rsid w:val="00FB62F2"/>
    <w:rsid w:val="10650C1E"/>
    <w:rsid w:val="15C63768"/>
    <w:rsid w:val="2DDD6FEE"/>
    <w:rsid w:val="2DDECEBD"/>
    <w:rsid w:val="376E2CF3"/>
    <w:rsid w:val="377DE76C"/>
    <w:rsid w:val="37FE6974"/>
    <w:rsid w:val="3DF526CC"/>
    <w:rsid w:val="3E047E0F"/>
    <w:rsid w:val="4DDF31F8"/>
    <w:rsid w:val="51FED7AB"/>
    <w:rsid w:val="5E260854"/>
    <w:rsid w:val="5EFA7CCD"/>
    <w:rsid w:val="5FFB393A"/>
    <w:rsid w:val="627FA436"/>
    <w:rsid w:val="66BF26B9"/>
    <w:rsid w:val="67DB94B9"/>
    <w:rsid w:val="7CEFFF08"/>
    <w:rsid w:val="7D7A0F32"/>
    <w:rsid w:val="7F7D58EC"/>
    <w:rsid w:val="7FBF7943"/>
    <w:rsid w:val="9D4B5CFF"/>
    <w:rsid w:val="AFF00219"/>
    <w:rsid w:val="BA7B23C6"/>
    <w:rsid w:val="BFF77DFD"/>
    <w:rsid w:val="CDDF1F6E"/>
    <w:rsid w:val="CFFE5896"/>
    <w:rsid w:val="DE77D2EE"/>
    <w:rsid w:val="DFFF4C1D"/>
    <w:rsid w:val="EB7FA12D"/>
    <w:rsid w:val="F3F9278C"/>
    <w:rsid w:val="F51DBCCB"/>
    <w:rsid w:val="FB7E39C8"/>
    <w:rsid w:val="FDEFCD4E"/>
    <w:rsid w:val="FE734873"/>
    <w:rsid w:val="FE7F0DE0"/>
    <w:rsid w:val="FFEB1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"/>
    <w:lsdException w:qFormat="1" w:unhideWhenUsed="0" w:uiPriority="0" w:semiHidden="0" w:name=""/>
    <w:lsdException w:qFormat="1" w:unhideWhenUsed="0" w:uiPriority="0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0" w:firstLine="0"/>
      <w:jc w:val="both"/>
      <w:outlineLvl w:val="0"/>
    </w:pPr>
    <w:rPr>
      <w:rFonts w:ascii="宋体" w:hAnsi="宋体" w:eastAsia="Times New Roman" w:cs="Times New Roman"/>
      <w:sz w:val="28"/>
    </w:rPr>
  </w:style>
  <w:style w:type="paragraph" w:styleId="3">
    <w:name w:val="heading 2"/>
    <w:basedOn w:val="1"/>
    <w:next w:val="1"/>
    <w:qFormat/>
    <w:uiPriority w:val="0"/>
    <w:pPr>
      <w:widowControl w:val="0"/>
      <w:autoSpaceDE/>
      <w:autoSpaceDN/>
      <w:spacing w:before="280" w:after="280" w:line="240" w:lineRule="auto"/>
      <w:ind w:left="0" w:firstLine="0"/>
      <w:jc w:val="both"/>
      <w:outlineLvl w:val="1"/>
    </w:pPr>
    <w:rPr>
      <w:rFonts w:ascii="宋体" w:hAnsi="宋体" w:eastAsia="宋体" w:cs="Times New Roman"/>
      <w:b/>
      <w:kern w:val="0"/>
      <w:sz w:val="36"/>
      <w:szCs w:val="20"/>
    </w:rPr>
  </w:style>
  <w:style w:type="paragraph" w:styleId="4">
    <w:name w:val="heading 3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1400" w:hanging="400"/>
      <w:jc w:val="both"/>
      <w:outlineLvl w:val="2"/>
    </w:pPr>
    <w:rPr>
      <w:rFonts w:ascii="宋体" w:hAnsi="宋体" w:eastAsia="Times New Roman" w:cs="Times New Roman"/>
      <w:sz w:val="21"/>
    </w:rPr>
  </w:style>
  <w:style w:type="paragraph" w:styleId="5">
    <w:name w:val="heading 4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1600" w:hanging="400"/>
      <w:jc w:val="both"/>
      <w:outlineLvl w:val="3"/>
    </w:pPr>
    <w:rPr>
      <w:rFonts w:ascii="宋体" w:hAnsi="宋体" w:eastAsia="Times New Roman" w:cs="Times New Roman"/>
      <w:b/>
      <w:sz w:val="21"/>
    </w:rPr>
  </w:style>
  <w:style w:type="paragraph" w:styleId="6">
    <w:name w:val="heading 5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1800" w:hanging="400"/>
      <w:jc w:val="both"/>
      <w:outlineLvl w:val="4"/>
    </w:pPr>
    <w:rPr>
      <w:rFonts w:ascii="宋体" w:hAnsi="宋体" w:eastAsia="Times New Roman" w:cs="Times New Roman"/>
      <w:sz w:val="21"/>
    </w:rPr>
  </w:style>
  <w:style w:type="paragraph" w:styleId="7">
    <w:name w:val="heading 6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000" w:hanging="400"/>
      <w:jc w:val="both"/>
      <w:outlineLvl w:val="5"/>
    </w:pPr>
    <w:rPr>
      <w:rFonts w:ascii="宋体" w:hAnsi="宋体" w:eastAsia="Times New Roman" w:cs="Times New Roman"/>
      <w:b/>
      <w:sz w:val="21"/>
    </w:rPr>
  </w:style>
  <w:style w:type="paragraph" w:styleId="8">
    <w:name w:val="heading 7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200" w:hanging="400"/>
      <w:jc w:val="both"/>
      <w:outlineLvl w:val="6"/>
    </w:pPr>
    <w:rPr>
      <w:rFonts w:ascii="宋体" w:hAnsi="宋体" w:eastAsia="Times New Roman" w:cs="Times New Roman"/>
      <w:sz w:val="21"/>
    </w:rPr>
  </w:style>
  <w:style w:type="paragraph" w:styleId="9">
    <w:name w:val="heading 8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400" w:hanging="400"/>
      <w:jc w:val="both"/>
      <w:outlineLvl w:val="7"/>
    </w:pPr>
    <w:rPr>
      <w:rFonts w:ascii="宋体" w:hAnsi="宋体" w:eastAsia="Times New Roman" w:cs="Times New Roman"/>
      <w:sz w:val="21"/>
    </w:rPr>
  </w:style>
  <w:style w:type="paragraph" w:styleId="10">
    <w:name w:val="heading 9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600" w:hanging="400"/>
      <w:jc w:val="both"/>
      <w:outlineLvl w:val="8"/>
    </w:pPr>
    <w:rPr>
      <w:rFonts w:ascii="宋体" w:hAnsi="宋体" w:eastAsia="Times New Roman" w:cs="Times New Roman"/>
      <w:sz w:val="21"/>
    </w:rPr>
  </w:style>
  <w:style w:type="character" w:default="1" w:styleId="28">
    <w:name w:val="Default Paragraph Font"/>
    <w:semiHidden/>
    <w:qFormat/>
    <w:uiPriority w:val="0"/>
  </w:style>
  <w:style w:type="table" w:default="1" w:styleId="32">
    <w:name w:val="Normal Table"/>
    <w:semiHidden/>
    <w:qFormat/>
    <w:uiPriority w:val="0"/>
    <w:tblPr>
      <w:tblStyle w:val="3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styleId="12">
    <w:name w:val="Normal Indent"/>
    <w:next w:val="1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hAnsi="宋体" w:eastAsia="宋体" w:cs="Times New Roman"/>
      <w:sz w:val="21"/>
    </w:rPr>
  </w:style>
  <w:style w:type="paragraph" w:styleId="13">
    <w:name w:val="annotation text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Calibri" w:hAnsi="宋体" w:eastAsia="宋体" w:cs="Times New Roman"/>
      <w:kern w:val="0"/>
      <w:sz w:val="21"/>
      <w:szCs w:val="20"/>
    </w:rPr>
  </w:style>
  <w:style w:type="paragraph" w:styleId="14">
    <w:name w:val="toc 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styleId="15">
    <w:name w:val="toc 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styleId="16">
    <w:name w:val="toc 8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styleId="17">
    <w:name w:val="footer"/>
    <w:basedOn w:val="1"/>
    <w:next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"/>
    <w:next w:val="1"/>
    <w:qFormat/>
    <w:uiPriority w:val="0"/>
    <w:pPr>
      <w:widowControl/>
      <w:wordWrap w:val="0"/>
      <w:autoSpaceDE/>
      <w:autoSpaceDN/>
      <w:spacing w:before="360" w:after="360" w:line="240" w:lineRule="auto"/>
      <w:ind w:left="950" w:right="950" w:firstLine="0"/>
      <w:jc w:val="center"/>
    </w:pPr>
    <w:rPr>
      <w:rFonts w:ascii="宋体" w:hAnsi="宋体" w:eastAsia="Times New Roman" w:cs="Times New Roman"/>
      <w:i/>
      <w:sz w:val="21"/>
    </w:rPr>
  </w:style>
  <w:style w:type="paragraph" w:styleId="19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styleId="21">
    <w:name w:val="Subtitle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0" w:firstLine="0"/>
      <w:jc w:val="center"/>
    </w:pPr>
    <w:rPr>
      <w:rFonts w:ascii="宋体" w:hAnsi="宋体" w:eastAsia="Times New Roman" w:cs="Times New Roman"/>
      <w:sz w:val="24"/>
    </w:rPr>
  </w:style>
  <w:style w:type="paragraph" w:styleId="22">
    <w:name w:val="toc 6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styleId="23">
    <w:name w:val="toc 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styleId="24">
    <w:name w:val="toc 9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styleId="25">
    <w:name w:val="Body Text 2"/>
    <w:basedOn w:val="1"/>
    <w:next w:val="15"/>
    <w:qFormat/>
    <w:uiPriority w:val="0"/>
    <w:pPr>
      <w:widowControl w:val="0"/>
      <w:autoSpaceDE/>
      <w:autoSpaceDN/>
      <w:spacing w:before="0" w:after="120" w:line="480" w:lineRule="auto"/>
      <w:ind w:left="0" w:firstLine="0"/>
      <w:jc w:val="both"/>
    </w:pPr>
    <w:rPr>
      <w:rFonts w:ascii="Calibri" w:hAnsi="宋体" w:eastAsia="宋体" w:cs="Times New Roman"/>
      <w:kern w:val="0"/>
      <w:sz w:val="21"/>
      <w:szCs w:val="20"/>
    </w:rPr>
  </w:style>
  <w:style w:type="paragraph" w:styleId="26">
    <w:name w:val="HTML Preformatted"/>
    <w:basedOn w:val="1"/>
    <w:next w:val="14"/>
    <w:qFormat/>
    <w:uiPriority w:val="0"/>
    <w:pPr>
      <w:widowControl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宋体" w:cs="Times New Roman"/>
      <w:kern w:val="0"/>
      <w:sz w:val="24"/>
      <w:szCs w:val="20"/>
    </w:rPr>
  </w:style>
  <w:style w:type="paragraph" w:styleId="27">
    <w:name w:val="Normal (Web)"/>
    <w:basedOn w:val="1"/>
    <w:next w:val="1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Calibri" w:hAnsi="宋体" w:eastAsia="宋体" w:cs="Times New Roman"/>
      <w:kern w:val="0"/>
      <w:sz w:val="24"/>
      <w:szCs w:val="20"/>
    </w:rPr>
  </w:style>
  <w:style w:type="character" w:styleId="29">
    <w:name w:val="Strong"/>
    <w:qFormat/>
    <w:uiPriority w:val="0"/>
    <w:rPr>
      <w:rFonts w:ascii="宋体" w:hAnsi="宋体" w:eastAsia="Times New Roman" w:cs="Times New Roman"/>
      <w:b/>
      <w:sz w:val="20"/>
    </w:rPr>
  </w:style>
  <w:style w:type="character" w:styleId="30">
    <w:name w:val="page number"/>
    <w:basedOn w:val="28"/>
    <w:qFormat/>
    <w:uiPriority w:val="0"/>
  </w:style>
  <w:style w:type="character" w:styleId="31">
    <w:name w:val="Emphasis"/>
    <w:qFormat/>
    <w:uiPriority w:val="0"/>
    <w:rPr>
      <w:rFonts w:ascii="宋体" w:hAnsi="宋体" w:eastAsia="Times New Roman" w:cs="Times New Roman"/>
      <w:i/>
      <w:sz w:val="20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4">
    <w:name w:val="QB正文"/>
    <w:next w:val="35"/>
    <w:qFormat/>
    <w:uiPriority w:val="0"/>
    <w:pPr>
      <w:widowControl/>
      <w:autoSpaceDE w:val="0"/>
      <w:autoSpaceDN w:val="0"/>
      <w:spacing w:before="0" w:after="0" w:line="240" w:lineRule="auto"/>
      <w:ind w:left="0" w:firstLine="420"/>
      <w:jc w:val="both"/>
    </w:pPr>
    <w:rPr>
      <w:rFonts w:ascii="宋体" w:hAnsi="宋体" w:eastAsia="宋体" w:cs="Times New Roman"/>
      <w:sz w:val="21"/>
    </w:rPr>
  </w:style>
  <w:style w:type="paragraph" w:customStyle="1" w:styleId="35">
    <w:name w:val="toc 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36">
    <w:name w:val="目录 6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37">
    <w:name w:val="目录 2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38">
    <w:name w:val="toc 3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39">
    <w:name w:val="目录 4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0">
    <w:name w:val="正文缩进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1">
    <w:name w:val="目录 4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2">
    <w:name w:val="目录 6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3">
    <w:name w:val="TOC Heading2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44">
    <w:name w:val="toc 7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5">
    <w:name w:val="段"/>
    <w:next w:val="37"/>
    <w:qFormat/>
    <w:uiPriority w:val="0"/>
    <w:pPr>
      <w:widowControl/>
      <w:autoSpaceDE w:val="0"/>
      <w:autoSpaceDN w:val="0"/>
      <w:spacing w:before="0" w:after="0" w:line="240" w:lineRule="auto"/>
      <w:ind w:left="0" w:firstLine="420"/>
      <w:jc w:val="both"/>
    </w:pPr>
    <w:rPr>
      <w:rFonts w:ascii="宋体" w:hAnsi="宋体" w:eastAsia="宋体" w:cs="Times New Roman"/>
      <w:sz w:val="21"/>
    </w:rPr>
  </w:style>
  <w:style w:type="paragraph" w:customStyle="1" w:styleId="46">
    <w:name w:val="toc 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7">
    <w:name w:val="目录 8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8">
    <w:name w:val="目录 5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9">
    <w:name w:val="目录 3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0">
    <w:name w:val="toc 1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1">
    <w:name w:val="目录 2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2">
    <w:name w:val="目录 7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3">
    <w:name w:val="目录 8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4">
    <w:name w:val="toc 8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5">
    <w:name w:val="目录 9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6">
    <w:name w:val="_Style 39"/>
    <w:next w:val="1"/>
    <w:qFormat/>
    <w:uiPriority w:val="0"/>
    <w:pPr>
      <w:wordWrap w:val="0"/>
      <w:spacing w:before="0" w:line="240" w:lineRule="auto"/>
      <w:ind w:left="0"/>
    </w:pPr>
    <w:rPr>
      <w:rFonts w:ascii="宋体" w:hAnsi="宋体" w:eastAsia="Times New Roman" w:cs="Times New Roman"/>
      <w:color w:val="auto"/>
      <w:sz w:val="32"/>
    </w:rPr>
  </w:style>
  <w:style w:type="paragraph" w:customStyle="1" w:styleId="57">
    <w:name w:val="标准编号"/>
    <w:basedOn w:val="1"/>
    <w:next w:val="56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黑体" w:hAnsi="宋体" w:eastAsia="黑体" w:cs="Times New Roman"/>
      <w:b/>
      <w:kern w:val="0"/>
      <w:sz w:val="30"/>
      <w:szCs w:val="20"/>
    </w:rPr>
  </w:style>
  <w:style w:type="paragraph" w:customStyle="1" w:styleId="58">
    <w:name w:val="toc 7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9">
    <w:name w:val="目录 2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0">
    <w:name w:val="toc 6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1">
    <w:name w:val="toc 6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2">
    <w:name w:val="正文缩进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3">
    <w:name w:val="正文缩进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4">
    <w:name w:val="目录 7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5">
    <w:name w:val="目录 9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6">
    <w:name w:val="TOC Heading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67">
    <w:name w:val="目录 7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8">
    <w:name w:val="toc 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9">
    <w:name w:val="toc 8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0">
    <w:name w:val="toc 2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1">
    <w:name w:val="TOC Heading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72">
    <w:name w:val="正文缩进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3">
    <w:name w:val="目录 6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4">
    <w:name w:val="目录 6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styleId="75">
    <w:name w:val=""/>
    <w:next w:val="1"/>
    <w:qFormat/>
    <w:uiPriority w:val="0"/>
    <w:pPr>
      <w:widowControl/>
      <w:wordWrap w:val="0"/>
      <w:autoSpaceDE/>
      <w:autoSpaceDN/>
      <w:spacing w:before="200" w:after="160" w:line="240" w:lineRule="auto"/>
      <w:ind w:left="864" w:right="864" w:firstLine="0"/>
      <w:jc w:val="center"/>
    </w:pPr>
    <w:rPr>
      <w:rFonts w:ascii="宋体" w:hAnsi="宋体" w:eastAsia="Times New Roman" w:cs="Times New Roman"/>
      <w:i/>
      <w:sz w:val="21"/>
    </w:rPr>
  </w:style>
  <w:style w:type="paragraph" w:customStyle="1" w:styleId="76">
    <w:name w:val="目录 6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7">
    <w:name w:val="目录 7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8">
    <w:name w:val="目录 8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9">
    <w:name w:val="目录 9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0">
    <w:name w:val="TOC Heading3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81">
    <w:name w:val="目录 4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2">
    <w:name w:val="章标题"/>
    <w:next w:val="83"/>
    <w:qFormat/>
    <w:uiPriority w:val="0"/>
    <w:pPr>
      <w:widowControl/>
      <w:autoSpaceDE/>
      <w:autoSpaceDN/>
      <w:spacing w:before="312" w:after="312" w:line="240" w:lineRule="auto"/>
      <w:ind w:left="0" w:firstLine="0"/>
      <w:jc w:val="both"/>
      <w:outlineLvl w:val="1"/>
    </w:pPr>
    <w:rPr>
      <w:rFonts w:ascii="黑体" w:hAnsi="宋体" w:eastAsia="黑体" w:cs="Times New Roman"/>
      <w:sz w:val="21"/>
    </w:rPr>
  </w:style>
  <w:style w:type="paragraph" w:customStyle="1" w:styleId="83">
    <w:name w:val="toc 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4">
    <w:name w:val="toc 5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5">
    <w:name w:val="一级条标题"/>
    <w:next w:val="86"/>
    <w:qFormat/>
    <w:uiPriority w:val="0"/>
    <w:pPr>
      <w:widowControl/>
      <w:autoSpaceDE/>
      <w:autoSpaceDN/>
      <w:spacing w:before="156" w:after="156" w:line="240" w:lineRule="auto"/>
      <w:ind w:left="0" w:firstLine="0"/>
      <w:outlineLvl w:val="2"/>
    </w:pPr>
    <w:rPr>
      <w:rFonts w:ascii="黑体" w:hAnsi="宋体" w:eastAsia="黑体" w:cs="Times New Roman"/>
      <w:sz w:val="21"/>
    </w:rPr>
  </w:style>
  <w:style w:type="paragraph" w:customStyle="1" w:styleId="86">
    <w:name w:val="TOC Heading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87">
    <w:name w:val="目录 2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8">
    <w:name w:val="目录 8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9">
    <w:name w:val="目录 2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styleId="90">
    <w:name w:val="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1">
    <w:name w:val="TOC Heading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92">
    <w:name w:val="目录 9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3">
    <w:name w:val="TOC Heading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94">
    <w:name w:val="toc 4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5">
    <w:name w:val="目录 3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6">
    <w:name w:val="TOC Heading1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97">
    <w:name w:val="目录 8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8">
    <w:name w:val="目录 3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9">
    <w:name w:val="目录 5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0">
    <w:name w:val="toc 9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1">
    <w:name w:val="目录 7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2">
    <w:name w:val="目录 3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3">
    <w:name w:val="toc 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4">
    <w:name w:val="目录 4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5">
    <w:name w:val="目录 9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6">
    <w:name w:val="toc 9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7">
    <w:name w:val="目录 5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8">
    <w:name w:val="目录 5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9">
    <w:name w:val="正文缩进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10">
    <w:name w:val="目录 3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11">
    <w:name w:val="目录 5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12">
    <w:name w:val="目录 4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character" w:customStyle="1" w:styleId="113">
    <w:name w:val="_Style 32"/>
    <w:qFormat/>
    <w:uiPriority w:val="0"/>
    <w:rPr>
      <w:rFonts w:ascii="宋体" w:hAnsi="宋体" w:eastAsia="Times New Roman" w:cs="Times New Roman"/>
      <w:i/>
      <w:sz w:val="20"/>
    </w:rPr>
  </w:style>
  <w:style w:type="character" w:customStyle="1" w:styleId="114">
    <w:name w:val="_Style 34"/>
    <w:qFormat/>
    <w:uiPriority w:val="0"/>
    <w:rPr>
      <w:rFonts w:ascii="宋体" w:hAnsi="宋体" w:eastAsia="Times New Roman" w:cs="Times New Roman"/>
      <w:b/>
      <w:sz w:val="20"/>
    </w:rPr>
  </w:style>
  <w:style w:type="character" w:customStyle="1" w:styleId="115">
    <w:name w:val="_Style 35"/>
    <w:qFormat/>
    <w:uiPriority w:val="0"/>
    <w:rPr>
      <w:rFonts w:ascii="宋体" w:hAnsi="宋体" w:eastAsia="Times New Roman" w:cs="Times New Roman"/>
      <w:i/>
      <w:sz w:val="20"/>
    </w:rPr>
  </w:style>
  <w:style w:type="character" w:customStyle="1" w:styleId="116">
    <w:name w:val="_Style 33"/>
    <w:qFormat/>
    <w:uiPriority w:val="0"/>
    <w:rPr>
      <w:rFonts w:ascii="宋体" w:hAnsi="宋体" w:eastAsia="Times New Roman" w:cs="Times New Roman"/>
      <w:b/>
      <w:i/>
      <w:sz w:val="20"/>
    </w:rPr>
  </w:style>
  <w:style w:type="character" w:customStyle="1" w:styleId="117">
    <w:name w:val="_Style 36"/>
    <w:qFormat/>
    <w:uiPriority w:val="0"/>
    <w:rPr>
      <w:rFonts w:ascii="宋体" w:hAnsi="宋体" w:eastAsia="Times New Roman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pt\kingsoft\wps-office\office6\C:\Documents%20and%20Settings\Administrator\&#26700;&#38754;\&#30465;&#25919;&#24220;\&#29976;&#21457;&#25913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甘发改发</Template>
  <Company>微软中国</Company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2024-05-21T01:52:00Z</dcterms:created>
  <dc:creator>1</dc:creator>
  <cp:lastModifiedBy>lka</cp:lastModifiedBy>
  <cp:lastPrinted>2024-05-24T17:41:00Z</cp:lastPrinted>
  <dcterms:modified xsi:type="dcterms:W3CDTF">2024-05-22T04:13:38Z</dcterms:modified>
  <dc:title>关于印发《甘肃省企业职工“退休一件事”工作方案（试行）》的通知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文种">
    <vt:lpwstr/>
  </property>
</Properties>
</file>