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before="0" w:after="0" w:line="600" w:lineRule="exact"/>
        <w:ind w:left="0" w:firstLine="0"/>
        <w:jc w:val="both"/>
        <w:rPr>
          <w:rFonts w:hint="eastAsia" w:ascii="仿宋_GB2312" w:hAnsi="Times New Roman" w:eastAsia="仿宋_GB2312"/>
          <w:b w:val="0"/>
          <w:color w:val="333333"/>
          <w:w w:val="100"/>
          <w:sz w:val="32"/>
          <w:shd w:val="clear" w:color="000000" w:fill="FFFFFF"/>
          <w:lang w:eastAsia="zh-CN"/>
        </w:rPr>
      </w:pPr>
      <w:bookmarkStart w:id="0" w:name="_GoBack"/>
      <w:bookmarkEnd w:id="0"/>
      <w:r>
        <w:rPr>
          <w:rFonts w:hint="eastAsia" w:ascii="黑体" w:hAnsi="黑体" w:eastAsia="黑体" w:cs="黑体"/>
          <w:b w:val="0"/>
          <w:color w:val="333333"/>
          <w:w w:val="100"/>
          <w:sz w:val="32"/>
          <w:shd w:val="clear" w:color="000000" w:fill="FFFFFF"/>
          <w:lang w:eastAsia="zh-CN"/>
        </w:rPr>
        <w:t xml:space="preserve">附件4  </w:t>
      </w:r>
      <w:r>
        <w:rPr>
          <w:rFonts w:hint="eastAsia" w:ascii="仿宋_GB2312" w:hAnsi="Times New Roman" w:eastAsia="仿宋_GB2312"/>
          <w:b w:val="0"/>
          <w:color w:val="333333"/>
          <w:w w:val="100"/>
          <w:sz w:val="32"/>
          <w:shd w:val="clear" w:color="000000" w:fill="FFFFFF"/>
          <w:lang w:eastAsia="zh-CN"/>
        </w:rPr>
        <w:t xml:space="preserve">     </w:t>
      </w:r>
    </w:p>
    <w:p>
      <w:pPr>
        <w:autoSpaceDE/>
        <w:autoSpaceDN/>
        <w:snapToGrid/>
        <w:spacing w:before="0" w:after="0" w:line="600" w:lineRule="exact"/>
        <w:ind w:left="0" w:firstLine="0"/>
        <w:jc w:val="center"/>
        <w:rPr>
          <w:rFonts w:hint="eastAsia" w:ascii="方正小标宋简体" w:hAnsi="方正小标宋简体" w:eastAsia="方正小标宋简体" w:cs="方正小标宋简体"/>
          <w:b w:val="0"/>
          <w:w w:val="100"/>
          <w:sz w:val="44"/>
          <w:szCs w:val="44"/>
          <w:lang w:eastAsia="zh"/>
        </w:rPr>
      </w:pPr>
      <w:r>
        <w:rPr>
          <w:rFonts w:hint="eastAsia" w:ascii="方正小标宋简体" w:hAnsi="方正小标宋简体" w:eastAsia="方正小标宋简体" w:cs="方正小标宋简体"/>
          <w:b w:val="0"/>
          <w:w w:val="100"/>
          <w:sz w:val="44"/>
          <w:szCs w:val="44"/>
          <w:lang w:eastAsia="zh-CN"/>
        </w:rPr>
        <w:t>甘肃省企业职工“退休</w:t>
      </w:r>
      <w:r>
        <w:rPr>
          <w:rFonts w:hint="eastAsia" w:ascii="方正小标宋简体" w:hAnsi="方正小标宋简体" w:eastAsia="方正小标宋简体" w:cs="方正小标宋简体"/>
          <w:b w:val="0"/>
          <w:w w:val="100"/>
          <w:sz w:val="44"/>
          <w:szCs w:val="44"/>
          <w:lang w:eastAsia="zh"/>
        </w:rPr>
        <w:t>一件事</w:t>
      </w:r>
      <w:r>
        <w:rPr>
          <w:rFonts w:hint="eastAsia" w:ascii="方正小标宋简体" w:hAnsi="方正小标宋简体" w:eastAsia="方正小标宋简体" w:cs="方正小标宋简体"/>
          <w:b w:val="0"/>
          <w:w w:val="100"/>
          <w:sz w:val="44"/>
          <w:szCs w:val="44"/>
          <w:lang w:eastAsia="zh-CN"/>
        </w:rPr>
        <w:t>”</w:t>
      </w:r>
      <w:r>
        <w:rPr>
          <w:rFonts w:hint="eastAsia" w:ascii="方正小标宋简体" w:hAnsi="方正小标宋简体" w:eastAsia="方正小标宋简体" w:cs="方正小标宋简体"/>
          <w:b w:val="0"/>
          <w:w w:val="100"/>
          <w:sz w:val="44"/>
          <w:szCs w:val="44"/>
          <w:lang w:eastAsia="zh"/>
        </w:rPr>
        <w:t>办事指南</w:t>
      </w:r>
    </w:p>
    <w:tbl>
      <w:tblPr>
        <w:tblStyle w:val="32"/>
        <w:tblW w:w="9370" w:type="dxa"/>
        <w:jc w:val="center"/>
        <w:tblInd w:w="0" w:type="dxa"/>
        <w:tblLayout w:type="fixed"/>
        <w:tblCellMar>
          <w:top w:w="0" w:type="dxa"/>
          <w:left w:w="0" w:type="dxa"/>
          <w:bottom w:w="0" w:type="dxa"/>
          <w:right w:w="0" w:type="dxa"/>
        </w:tblCellMar>
      </w:tblPr>
      <w:tblGrid>
        <w:gridCol w:w="858"/>
        <w:gridCol w:w="103"/>
        <w:gridCol w:w="137"/>
        <w:gridCol w:w="675"/>
        <w:gridCol w:w="289"/>
        <w:gridCol w:w="366"/>
        <w:gridCol w:w="710"/>
        <w:gridCol w:w="601"/>
        <w:gridCol w:w="299"/>
        <w:gridCol w:w="817"/>
        <w:gridCol w:w="509"/>
        <w:gridCol w:w="114"/>
        <w:gridCol w:w="235"/>
        <w:gridCol w:w="391"/>
        <w:gridCol w:w="482"/>
        <w:gridCol w:w="503"/>
        <w:gridCol w:w="123"/>
        <w:gridCol w:w="798"/>
        <w:gridCol w:w="150"/>
        <w:gridCol w:w="1210"/>
      </w:tblGrid>
      <w:tr>
        <w:tblPrEx>
          <w:tblLayout w:type="fixed"/>
          <w:tblCellMar>
            <w:top w:w="0" w:type="dxa"/>
            <w:left w:w="0" w:type="dxa"/>
            <w:bottom w:w="0" w:type="dxa"/>
            <w:right w:w="0" w:type="dxa"/>
          </w:tblCellMar>
        </w:tblPrEx>
        <w:trPr>
          <w:trHeight w:val="423" w:hRule="atLeast"/>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autoSpaceDE/>
              <w:autoSpaceDN/>
              <w:snapToGrid/>
              <w:spacing w:before="120" w:after="120" w:line="240" w:lineRule="auto"/>
              <w:ind w:left="0" w:firstLine="2520"/>
              <w:jc w:val="left"/>
              <w:rPr>
                <w:rFonts w:ascii="方正仿宋_GB2312" w:hAnsi="方正仿宋_GB2312" w:eastAsia="方正仿宋_GB2312"/>
                <w:b w:val="0"/>
                <w:w w:val="100"/>
                <w:sz w:val="18"/>
              </w:rPr>
            </w:pPr>
            <w:r>
              <w:rPr>
                <w:rFonts w:hint="eastAsia" w:ascii="黑体" w:hAnsi="Times New Roman" w:eastAsia="黑体"/>
                <w:b w:val="0"/>
                <w:w w:val="100"/>
                <w:sz w:val="21"/>
                <w:lang w:eastAsia="zh-CN"/>
              </w:rPr>
              <w:t>企业职工“退休</w:t>
            </w:r>
            <w:r>
              <w:rPr>
                <w:rFonts w:hint="eastAsia" w:ascii="黑体" w:hAnsi="Times New Roman" w:eastAsia="黑体"/>
                <w:b w:val="0"/>
                <w:w w:val="100"/>
                <w:sz w:val="21"/>
                <w:lang w:eastAsia="zh"/>
              </w:rPr>
              <w:t>一件事</w:t>
            </w:r>
            <w:r>
              <w:rPr>
                <w:rFonts w:hint="eastAsia" w:ascii="黑体" w:hAnsi="Times New Roman" w:eastAsia="黑体"/>
                <w:b w:val="0"/>
                <w:w w:val="100"/>
                <w:sz w:val="21"/>
                <w:lang w:eastAsia="zh-CN"/>
              </w:rPr>
              <w:t>”</w:t>
            </w:r>
            <w:r>
              <w:rPr>
                <w:rFonts w:hint="eastAsia" w:ascii="黑体" w:hAnsi="Times New Roman" w:eastAsia="黑体"/>
                <w:b w:val="0"/>
                <w:w w:val="100"/>
                <w:sz w:val="21"/>
                <w:lang w:eastAsia="zh"/>
              </w:rPr>
              <w:t>办事指南</w:t>
            </w:r>
          </w:p>
        </w:tc>
      </w:tr>
      <w:tr>
        <w:tblPrEx>
          <w:tblLayout w:type="fixed"/>
          <w:tblCellMar>
            <w:top w:w="0" w:type="dxa"/>
            <w:left w:w="0" w:type="dxa"/>
            <w:bottom w:w="0" w:type="dxa"/>
            <w:right w:w="0" w:type="dxa"/>
          </w:tblCellMar>
        </w:tblPrEx>
        <w:trPr>
          <w:trHeight w:val="858"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牵头部门</w:t>
            </w:r>
          </w:p>
        </w:tc>
        <w:tc>
          <w:tcPr>
            <w:tcW w:w="2265"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各级人力资源和社会保障部门</w:t>
            </w:r>
          </w:p>
        </w:tc>
        <w:tc>
          <w:tcPr>
            <w:tcW w:w="13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联办机构</w:t>
            </w:r>
          </w:p>
        </w:tc>
        <w:tc>
          <w:tcPr>
            <w:tcW w:w="4006" w:type="dxa"/>
            <w:gridSpan w:val="9"/>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各级公安、住建、医疗保障部门</w:t>
            </w:r>
          </w:p>
        </w:tc>
      </w:tr>
      <w:tr>
        <w:tblPrEx>
          <w:tblLayout w:type="fixed"/>
          <w:tblCellMar>
            <w:top w:w="0" w:type="dxa"/>
            <w:left w:w="0" w:type="dxa"/>
            <w:bottom w:w="0" w:type="dxa"/>
            <w:right w:w="0" w:type="dxa"/>
          </w:tblCellMar>
        </w:tblPrEx>
        <w:trPr>
          <w:trHeight w:val="462"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服务对象</w:t>
            </w:r>
          </w:p>
        </w:tc>
        <w:tc>
          <w:tcPr>
            <w:tcW w:w="2265"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自然人/法人</w:t>
            </w:r>
          </w:p>
        </w:tc>
        <w:tc>
          <w:tcPr>
            <w:tcW w:w="13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办件类型</w:t>
            </w:r>
          </w:p>
        </w:tc>
        <w:tc>
          <w:tcPr>
            <w:tcW w:w="4006" w:type="dxa"/>
            <w:gridSpan w:val="9"/>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承诺件</w:t>
            </w:r>
          </w:p>
        </w:tc>
      </w:tr>
      <w:tr>
        <w:tblPrEx>
          <w:tblLayout w:type="fixed"/>
          <w:tblCellMar>
            <w:top w:w="0" w:type="dxa"/>
            <w:left w:w="0" w:type="dxa"/>
            <w:bottom w:w="0" w:type="dxa"/>
            <w:right w:w="0" w:type="dxa"/>
          </w:tblCellMar>
        </w:tblPrEx>
        <w:trPr>
          <w:trHeight w:val="515"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法定办结时限</w:t>
            </w:r>
          </w:p>
        </w:tc>
        <w:tc>
          <w:tcPr>
            <w:tcW w:w="2265"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60个工作日</w:t>
            </w:r>
          </w:p>
        </w:tc>
        <w:tc>
          <w:tcPr>
            <w:tcW w:w="13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承诺办结时限</w:t>
            </w:r>
          </w:p>
        </w:tc>
        <w:tc>
          <w:tcPr>
            <w:tcW w:w="4006" w:type="dxa"/>
            <w:gridSpan w:val="9"/>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20个工作日</w:t>
            </w:r>
          </w:p>
        </w:tc>
      </w:tr>
      <w:tr>
        <w:tblPrEx>
          <w:tblLayout w:type="fixed"/>
          <w:tblCellMar>
            <w:top w:w="0" w:type="dxa"/>
            <w:left w:w="0" w:type="dxa"/>
            <w:bottom w:w="0" w:type="dxa"/>
            <w:right w:w="0" w:type="dxa"/>
          </w:tblCellMar>
        </w:tblPrEx>
        <w:trPr>
          <w:trHeight w:val="515"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咨询投诉方式</w:t>
            </w:r>
          </w:p>
        </w:tc>
        <w:tc>
          <w:tcPr>
            <w:tcW w:w="2265"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电话：0931-12345</w:t>
            </w:r>
          </w:p>
        </w:tc>
        <w:tc>
          <w:tcPr>
            <w:tcW w:w="13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4006" w:type="dxa"/>
            <w:gridSpan w:val="9"/>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r>
      <w:tr>
        <w:tblPrEx>
          <w:tblLayout w:type="fixed"/>
          <w:tblCellMar>
            <w:top w:w="0" w:type="dxa"/>
            <w:left w:w="0" w:type="dxa"/>
            <w:bottom w:w="0" w:type="dxa"/>
            <w:right w:w="0" w:type="dxa"/>
          </w:tblCellMar>
        </w:tblPrEx>
        <w:trPr>
          <w:trHeight w:val="515" w:hRule="atLeast"/>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联办效能</w:t>
            </w:r>
          </w:p>
        </w:tc>
      </w:tr>
      <w:tr>
        <w:tblPrEx>
          <w:tblLayout w:type="fixed"/>
          <w:tblCellMar>
            <w:top w:w="0" w:type="dxa"/>
            <w:left w:w="0" w:type="dxa"/>
            <w:bottom w:w="0" w:type="dxa"/>
            <w:right w:w="0" w:type="dxa"/>
          </w:tblCellMar>
        </w:tblPrEx>
        <w:trPr>
          <w:trHeight w:val="515"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单办件</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办理时间</w:t>
            </w:r>
          </w:p>
        </w:tc>
        <w:tc>
          <w:tcPr>
            <w:tcW w:w="2265"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60个工作日</w:t>
            </w:r>
          </w:p>
        </w:tc>
        <w:tc>
          <w:tcPr>
            <w:tcW w:w="13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一事联办</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办理时间</w:t>
            </w:r>
          </w:p>
        </w:tc>
        <w:tc>
          <w:tcPr>
            <w:tcW w:w="4006" w:type="dxa"/>
            <w:gridSpan w:val="9"/>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20个工作日</w:t>
            </w:r>
          </w:p>
        </w:tc>
      </w:tr>
      <w:tr>
        <w:tblPrEx>
          <w:tblLayout w:type="fixed"/>
          <w:tblCellMar>
            <w:top w:w="0" w:type="dxa"/>
            <w:left w:w="0" w:type="dxa"/>
            <w:bottom w:w="0" w:type="dxa"/>
            <w:right w:w="0" w:type="dxa"/>
          </w:tblCellMar>
        </w:tblPrEx>
        <w:trPr>
          <w:trHeight w:val="515"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单办件</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跑动次数</w:t>
            </w:r>
          </w:p>
        </w:tc>
        <w:tc>
          <w:tcPr>
            <w:tcW w:w="2265"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5次跑动</w:t>
            </w:r>
          </w:p>
        </w:tc>
        <w:tc>
          <w:tcPr>
            <w:tcW w:w="13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一事联办</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跑动次数</w:t>
            </w:r>
          </w:p>
        </w:tc>
        <w:tc>
          <w:tcPr>
            <w:tcW w:w="4006" w:type="dxa"/>
            <w:gridSpan w:val="9"/>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0次跑动</w:t>
            </w:r>
          </w:p>
        </w:tc>
      </w:tr>
      <w:tr>
        <w:tblPrEx>
          <w:tblLayout w:type="fixed"/>
          <w:tblCellMar>
            <w:top w:w="0" w:type="dxa"/>
            <w:left w:w="0" w:type="dxa"/>
            <w:bottom w:w="0" w:type="dxa"/>
            <w:right w:w="0" w:type="dxa"/>
          </w:tblCellMar>
        </w:tblPrEx>
        <w:trPr>
          <w:trHeight w:val="515"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单办件</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递交材料</w:t>
            </w:r>
          </w:p>
        </w:tc>
        <w:tc>
          <w:tcPr>
            <w:tcW w:w="2265"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14份材料</w:t>
            </w:r>
          </w:p>
        </w:tc>
        <w:tc>
          <w:tcPr>
            <w:tcW w:w="13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一事联办</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递交材料</w:t>
            </w:r>
          </w:p>
        </w:tc>
        <w:tc>
          <w:tcPr>
            <w:tcW w:w="4006" w:type="dxa"/>
            <w:gridSpan w:val="9"/>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4份材料</w:t>
            </w:r>
          </w:p>
        </w:tc>
      </w:tr>
      <w:tr>
        <w:tblPrEx>
          <w:tblLayout w:type="fixed"/>
          <w:tblCellMar>
            <w:top w:w="0" w:type="dxa"/>
            <w:left w:w="0" w:type="dxa"/>
            <w:bottom w:w="0" w:type="dxa"/>
            <w:right w:w="0" w:type="dxa"/>
          </w:tblCellMar>
        </w:tblPrEx>
        <w:trPr>
          <w:trHeight w:val="515"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单办件</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办理环节</w:t>
            </w:r>
          </w:p>
        </w:tc>
        <w:tc>
          <w:tcPr>
            <w:tcW w:w="2265"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4个环节</w:t>
            </w:r>
          </w:p>
        </w:tc>
        <w:tc>
          <w:tcPr>
            <w:tcW w:w="13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一事联办</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办理环节</w:t>
            </w:r>
          </w:p>
        </w:tc>
        <w:tc>
          <w:tcPr>
            <w:tcW w:w="4006" w:type="dxa"/>
            <w:gridSpan w:val="9"/>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1个环节</w:t>
            </w:r>
          </w:p>
        </w:tc>
      </w:tr>
      <w:tr>
        <w:tblPrEx>
          <w:tblLayout w:type="fixed"/>
          <w:tblCellMar>
            <w:top w:w="0" w:type="dxa"/>
            <w:left w:w="0" w:type="dxa"/>
            <w:bottom w:w="0" w:type="dxa"/>
            <w:right w:w="0" w:type="dxa"/>
          </w:tblCellMar>
        </w:tblPrEx>
        <w:trPr>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基本信息</w:t>
            </w:r>
          </w:p>
        </w:tc>
      </w:tr>
      <w:tr>
        <w:tblPrEx>
          <w:tblLayout w:type="fixed"/>
          <w:tblCellMar>
            <w:top w:w="0" w:type="dxa"/>
            <w:left w:w="0" w:type="dxa"/>
            <w:bottom w:w="0" w:type="dxa"/>
            <w:right w:w="0" w:type="dxa"/>
          </w:tblCellMar>
        </w:tblPrEx>
        <w:trPr>
          <w:jc w:val="center"/>
        </w:trPr>
        <w:tc>
          <w:tcPr>
            <w:tcW w:w="96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事项名称</w:t>
            </w:r>
          </w:p>
        </w:tc>
        <w:tc>
          <w:tcPr>
            <w:tcW w:w="3077" w:type="dxa"/>
            <w:gridSpan w:val="7"/>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企业职工退休</w:t>
            </w:r>
          </w:p>
        </w:tc>
        <w:tc>
          <w:tcPr>
            <w:tcW w:w="81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事项类型</w:t>
            </w:r>
          </w:p>
        </w:tc>
        <w:tc>
          <w:tcPr>
            <w:tcW w:w="858"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承诺件</w:t>
            </w:r>
          </w:p>
        </w:tc>
        <w:tc>
          <w:tcPr>
            <w:tcW w:w="873"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服务对象</w:t>
            </w:r>
          </w:p>
        </w:tc>
        <w:tc>
          <w:tcPr>
            <w:tcW w:w="2784"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自然人/法人</w:t>
            </w:r>
          </w:p>
        </w:tc>
      </w:tr>
      <w:tr>
        <w:tblPrEx>
          <w:tblLayout w:type="fixed"/>
          <w:tblCellMar>
            <w:top w:w="0" w:type="dxa"/>
            <w:left w:w="0" w:type="dxa"/>
            <w:bottom w:w="0" w:type="dxa"/>
            <w:right w:w="0" w:type="dxa"/>
          </w:tblCellMar>
        </w:tblPrEx>
        <w:trPr>
          <w:jc w:val="center"/>
        </w:trPr>
        <w:tc>
          <w:tcPr>
            <w:tcW w:w="96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办件类型</w:t>
            </w:r>
          </w:p>
        </w:tc>
        <w:tc>
          <w:tcPr>
            <w:tcW w:w="3077" w:type="dxa"/>
            <w:gridSpan w:val="7"/>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承诺件</w:t>
            </w:r>
          </w:p>
        </w:tc>
        <w:tc>
          <w:tcPr>
            <w:tcW w:w="81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到场次数</w:t>
            </w:r>
          </w:p>
        </w:tc>
        <w:tc>
          <w:tcPr>
            <w:tcW w:w="858"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0 次</w:t>
            </w:r>
          </w:p>
        </w:tc>
        <w:tc>
          <w:tcPr>
            <w:tcW w:w="873"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必须现场办理原因说明</w:t>
            </w:r>
          </w:p>
        </w:tc>
        <w:tc>
          <w:tcPr>
            <w:tcW w:w="2784"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无</w:t>
            </w:r>
          </w:p>
        </w:tc>
      </w:tr>
      <w:tr>
        <w:tblPrEx>
          <w:tblLayout w:type="fixed"/>
          <w:tblCellMar>
            <w:top w:w="0" w:type="dxa"/>
            <w:left w:w="0" w:type="dxa"/>
            <w:bottom w:w="0" w:type="dxa"/>
            <w:right w:w="0" w:type="dxa"/>
          </w:tblCellMar>
        </w:tblPrEx>
        <w:trPr>
          <w:jc w:val="center"/>
        </w:trPr>
        <w:tc>
          <w:tcPr>
            <w:tcW w:w="96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权力来源</w:t>
            </w:r>
          </w:p>
        </w:tc>
        <w:tc>
          <w:tcPr>
            <w:tcW w:w="3077" w:type="dxa"/>
            <w:gridSpan w:val="7"/>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法定本级行使</w:t>
            </w:r>
          </w:p>
        </w:tc>
        <w:tc>
          <w:tcPr>
            <w:tcW w:w="81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承诺办结时限</w:t>
            </w:r>
          </w:p>
        </w:tc>
        <w:tc>
          <w:tcPr>
            <w:tcW w:w="858"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20个工作日</w:t>
            </w:r>
          </w:p>
        </w:tc>
        <w:tc>
          <w:tcPr>
            <w:tcW w:w="873"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法定办结时限</w:t>
            </w:r>
          </w:p>
        </w:tc>
        <w:tc>
          <w:tcPr>
            <w:tcW w:w="2784"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60个工作日</w:t>
            </w:r>
          </w:p>
        </w:tc>
      </w:tr>
      <w:tr>
        <w:tblPrEx>
          <w:tblLayout w:type="fixed"/>
          <w:tblCellMar>
            <w:top w:w="0" w:type="dxa"/>
            <w:left w:w="0" w:type="dxa"/>
            <w:bottom w:w="0" w:type="dxa"/>
            <w:right w:w="0" w:type="dxa"/>
          </w:tblCellMar>
        </w:tblPrEx>
        <w:trPr>
          <w:jc w:val="center"/>
        </w:trPr>
        <w:tc>
          <w:tcPr>
            <w:tcW w:w="96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适用对象说明</w:t>
            </w:r>
          </w:p>
        </w:tc>
        <w:tc>
          <w:tcPr>
            <w:tcW w:w="3077" w:type="dxa"/>
            <w:gridSpan w:val="7"/>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both"/>
              <w:rPr>
                <w:rFonts w:hint="eastAsia" w:ascii="宋体" w:hAnsi="宋体" w:eastAsia="宋体"/>
                <w:b w:val="0"/>
                <w:w w:val="100"/>
                <w:sz w:val="18"/>
                <w:lang w:eastAsia="zh-CN"/>
              </w:rPr>
            </w:pPr>
            <w:r>
              <w:rPr>
                <w:rFonts w:hint="eastAsia" w:ascii="宋体" w:hAnsi="宋体" w:eastAsia="宋体"/>
                <w:b w:val="0"/>
                <w:w w:val="100"/>
                <w:sz w:val="18"/>
                <w:lang w:eastAsia="zh-CN"/>
              </w:rPr>
              <w:t>参保人员达到法定退休年龄，缴费满15年，符合领取养老保险待遇资格。</w:t>
            </w:r>
          </w:p>
        </w:tc>
        <w:tc>
          <w:tcPr>
            <w:tcW w:w="81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行使层级</w:t>
            </w:r>
          </w:p>
        </w:tc>
        <w:tc>
          <w:tcPr>
            <w:tcW w:w="858"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省、市、县级</w:t>
            </w:r>
          </w:p>
        </w:tc>
        <w:tc>
          <w:tcPr>
            <w:tcW w:w="873"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事项审查类型</w:t>
            </w:r>
          </w:p>
        </w:tc>
        <w:tc>
          <w:tcPr>
            <w:tcW w:w="2784"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串并联办理</w:t>
            </w:r>
          </w:p>
        </w:tc>
      </w:tr>
      <w:tr>
        <w:tblPrEx>
          <w:tblLayout w:type="fixed"/>
          <w:tblCellMar>
            <w:top w:w="0" w:type="dxa"/>
            <w:left w:w="0" w:type="dxa"/>
            <w:bottom w:w="0" w:type="dxa"/>
            <w:right w:w="0" w:type="dxa"/>
          </w:tblCellMar>
        </w:tblPrEx>
        <w:trPr>
          <w:jc w:val="center"/>
        </w:trPr>
        <w:tc>
          <w:tcPr>
            <w:tcW w:w="96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涉及的内容</w:t>
            </w:r>
          </w:p>
        </w:tc>
        <w:tc>
          <w:tcPr>
            <w:tcW w:w="3077" w:type="dxa"/>
            <w:gridSpan w:val="7"/>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left"/>
              <w:rPr>
                <w:rFonts w:hint="eastAsia" w:ascii="宋体" w:hAnsi="宋体" w:eastAsia="宋体"/>
                <w:b w:val="0"/>
                <w:w w:val="100"/>
                <w:sz w:val="18"/>
                <w:lang w:eastAsia="zh-CN"/>
              </w:rPr>
            </w:pPr>
            <w:r>
              <w:rPr>
                <w:rFonts w:hint="eastAsia" w:ascii="宋体" w:hAnsi="宋体" w:eastAsia="宋体"/>
                <w:b w:val="0"/>
                <w:w w:val="100"/>
                <w:sz w:val="18"/>
                <w:lang w:eastAsia="zh-CN"/>
              </w:rPr>
              <w:t>为符合条件的申请人办理正常退休或提前退休、基本医疗保险视同缴费年限核定（在职转退休登记）、提取住房公积金等一件事联办</w:t>
            </w:r>
          </w:p>
        </w:tc>
        <w:tc>
          <w:tcPr>
            <w:tcW w:w="81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实施主体性质</w:t>
            </w:r>
          </w:p>
        </w:tc>
        <w:tc>
          <w:tcPr>
            <w:tcW w:w="858"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法定机关</w:t>
            </w:r>
          </w:p>
        </w:tc>
        <w:tc>
          <w:tcPr>
            <w:tcW w:w="873"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委托部门</w:t>
            </w:r>
          </w:p>
        </w:tc>
        <w:tc>
          <w:tcPr>
            <w:tcW w:w="2784"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无</w:t>
            </w:r>
          </w:p>
        </w:tc>
      </w:tr>
      <w:tr>
        <w:tblPrEx>
          <w:tblLayout w:type="fixed"/>
          <w:tblCellMar>
            <w:top w:w="0" w:type="dxa"/>
            <w:left w:w="0" w:type="dxa"/>
            <w:bottom w:w="0" w:type="dxa"/>
            <w:right w:w="0" w:type="dxa"/>
          </w:tblCellMar>
        </w:tblPrEx>
        <w:trPr>
          <w:jc w:val="center"/>
        </w:trPr>
        <w:tc>
          <w:tcPr>
            <w:tcW w:w="96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联办机构</w:t>
            </w:r>
          </w:p>
        </w:tc>
        <w:tc>
          <w:tcPr>
            <w:tcW w:w="3077" w:type="dxa"/>
            <w:gridSpan w:val="7"/>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各级人力资源和社会保障部门、住建部门、医疗保障部门</w:t>
            </w:r>
          </w:p>
        </w:tc>
        <w:tc>
          <w:tcPr>
            <w:tcW w:w="81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网办深度（等级）</w:t>
            </w:r>
          </w:p>
        </w:tc>
        <w:tc>
          <w:tcPr>
            <w:tcW w:w="858"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全程网办（Ⅳ级）</w:t>
            </w:r>
          </w:p>
        </w:tc>
        <w:tc>
          <w:tcPr>
            <w:tcW w:w="873"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自然人主题分类</w:t>
            </w:r>
          </w:p>
        </w:tc>
        <w:tc>
          <w:tcPr>
            <w:tcW w:w="2784"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社会保障</w:t>
            </w:r>
          </w:p>
        </w:tc>
      </w:tr>
      <w:tr>
        <w:tblPrEx>
          <w:tblLayout w:type="fixed"/>
          <w:tblCellMar>
            <w:top w:w="0" w:type="dxa"/>
            <w:left w:w="0" w:type="dxa"/>
            <w:bottom w:w="0" w:type="dxa"/>
            <w:right w:w="0" w:type="dxa"/>
          </w:tblCellMar>
        </w:tblPrEx>
        <w:trPr>
          <w:jc w:val="center"/>
        </w:trPr>
        <w:tc>
          <w:tcPr>
            <w:tcW w:w="96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中介服务事项名称</w:t>
            </w:r>
          </w:p>
        </w:tc>
        <w:tc>
          <w:tcPr>
            <w:tcW w:w="8409" w:type="dxa"/>
            <w:gridSpan w:val="18"/>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无</w:t>
            </w:r>
          </w:p>
          <w:p>
            <w:pPr>
              <w:autoSpaceDE/>
              <w:autoSpaceDN/>
              <w:snapToGrid/>
              <w:spacing w:before="0" w:after="0" w:line="240" w:lineRule="auto"/>
              <w:ind w:left="0" w:firstLine="0"/>
              <w:jc w:val="center"/>
              <w:rPr>
                <w:rFonts w:ascii="宋体" w:hAnsi="宋体" w:eastAsia="Times New Roman"/>
                <w:b w:val="0"/>
                <w:w w:val="100"/>
                <w:sz w:val="20"/>
              </w:rPr>
            </w:pPr>
          </w:p>
        </w:tc>
      </w:tr>
      <w:tr>
        <w:tblPrEx>
          <w:tblLayout w:type="fixed"/>
          <w:tblCellMar>
            <w:top w:w="0" w:type="dxa"/>
            <w:left w:w="0" w:type="dxa"/>
            <w:bottom w:w="0" w:type="dxa"/>
            <w:right w:w="0" w:type="dxa"/>
          </w:tblCellMar>
        </w:tblPrEx>
        <w:trPr>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受理条件</w:t>
            </w:r>
          </w:p>
        </w:tc>
      </w:tr>
      <w:tr>
        <w:tblPrEx>
          <w:tblLayout w:type="fixed"/>
          <w:tblCellMar>
            <w:top w:w="0" w:type="dxa"/>
            <w:left w:w="0" w:type="dxa"/>
            <w:bottom w:w="0" w:type="dxa"/>
            <w:right w:w="0" w:type="dxa"/>
          </w:tblCellMar>
        </w:tblPrEx>
        <w:trPr>
          <w:trHeight w:val="2946" w:hRule="atLeast"/>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361"/>
              <w:jc w:val="left"/>
              <w:rPr>
                <w:rFonts w:hint="eastAsia" w:ascii="Calibri" w:hAnsi="Calibri" w:eastAsia="宋体"/>
                <w:b/>
                <w:w w:val="100"/>
                <w:sz w:val="18"/>
                <w:lang w:eastAsia="zh-CN"/>
              </w:rPr>
            </w:pPr>
            <w:r>
              <w:rPr>
                <w:rFonts w:hint="eastAsia" w:ascii="宋体" w:hAnsi="宋体" w:eastAsia="宋体"/>
                <w:b/>
                <w:w w:val="100"/>
                <w:sz w:val="18"/>
                <w:lang w:eastAsia="zh-CN"/>
              </w:rPr>
              <w:t>“正常退休或提前退休”事项的受理条件如下：</w:t>
            </w:r>
          </w:p>
          <w:p>
            <w:pPr>
              <w:autoSpaceDE/>
              <w:autoSpaceDN/>
              <w:snapToGrid/>
              <w:spacing w:before="0" w:after="0" w:line="240" w:lineRule="auto"/>
              <w:ind w:left="0" w:firstLine="0"/>
              <w:jc w:val="left"/>
              <w:rPr>
                <w:rFonts w:hint="eastAsia" w:ascii="宋体" w:hAnsi="宋体" w:eastAsia="宋体"/>
                <w:b w:val="0"/>
                <w:w w:val="100"/>
                <w:sz w:val="18"/>
                <w:lang w:eastAsia="zh-CN"/>
              </w:rPr>
            </w:pPr>
            <w:r>
              <w:rPr>
                <w:rFonts w:hint="eastAsia" w:ascii="宋体" w:hAnsi="宋体" w:eastAsia="宋体"/>
                <w:b w:val="0"/>
                <w:w w:val="100"/>
                <w:sz w:val="18"/>
                <w:lang w:eastAsia="zh-CN"/>
              </w:rPr>
              <w:t>1.参保人员达到法定退休年龄，企业职工养老保险缴费满15年。2.从事特殊工种达到国家规定的工作年限。3.因病或非因公致残完全丧失劳动能力。</w:t>
            </w:r>
          </w:p>
          <w:p>
            <w:pPr>
              <w:autoSpaceDE/>
              <w:autoSpaceDN/>
              <w:snapToGrid/>
              <w:spacing w:before="0" w:after="0" w:line="240" w:lineRule="auto"/>
              <w:ind w:left="0" w:firstLine="361"/>
              <w:jc w:val="left"/>
              <w:rPr>
                <w:rFonts w:hint="eastAsia" w:ascii="宋体" w:hAnsi="宋体" w:eastAsia="宋体"/>
                <w:b/>
                <w:w w:val="100"/>
                <w:sz w:val="18"/>
                <w:lang w:eastAsia="zh-CN"/>
              </w:rPr>
            </w:pPr>
          </w:p>
          <w:p>
            <w:pPr>
              <w:autoSpaceDE/>
              <w:autoSpaceDN/>
              <w:snapToGrid/>
              <w:spacing w:before="0" w:after="0" w:line="240" w:lineRule="auto"/>
              <w:ind w:left="0" w:firstLine="361"/>
              <w:jc w:val="left"/>
              <w:rPr>
                <w:rFonts w:hint="eastAsia" w:ascii="宋体" w:hAnsi="宋体" w:eastAsia="宋体"/>
                <w:b/>
                <w:w w:val="100"/>
                <w:sz w:val="18"/>
                <w:lang w:eastAsia="zh-CN"/>
              </w:rPr>
            </w:pPr>
            <w:r>
              <w:rPr>
                <w:rFonts w:hint="eastAsia" w:ascii="宋体" w:hAnsi="宋体" w:eastAsia="宋体"/>
                <w:b/>
                <w:w w:val="100"/>
                <w:sz w:val="18"/>
                <w:lang w:eastAsia="zh-CN"/>
              </w:rPr>
              <w:t>“基本医疗保险视同缴费年限核定（在职转退休登记）”事项的受理条件如下：</w:t>
            </w:r>
          </w:p>
          <w:p>
            <w:pPr>
              <w:autoSpaceDE/>
              <w:autoSpaceDN/>
              <w:snapToGrid/>
              <w:spacing w:before="0" w:after="0" w:line="260" w:lineRule="atLeast"/>
              <w:ind w:left="0" w:firstLine="0"/>
              <w:jc w:val="both"/>
              <w:rPr>
                <w:rFonts w:hint="eastAsia" w:ascii="宋体" w:hAnsi="宋体" w:eastAsia="宋体"/>
                <w:b w:val="0"/>
                <w:w w:val="100"/>
                <w:sz w:val="18"/>
                <w:lang w:eastAsia="zh-CN"/>
              </w:rPr>
            </w:pPr>
            <w:r>
              <w:rPr>
                <w:rFonts w:hint="eastAsia" w:ascii="宋体" w:hAnsi="宋体" w:eastAsia="宋体"/>
                <w:b w:val="0"/>
                <w:w w:val="100"/>
                <w:sz w:val="18"/>
                <w:lang w:eastAsia="zh-CN"/>
              </w:rPr>
              <w:t>1.参保人员达到法定退休年龄。2.退休未达到规定年限的需要做一次性补缴或提供曾在其他地区参保的参保凭证。</w:t>
            </w:r>
          </w:p>
          <w:p>
            <w:pPr>
              <w:autoSpaceDE/>
              <w:autoSpaceDN/>
              <w:snapToGrid/>
              <w:spacing w:before="0" w:after="0" w:line="240" w:lineRule="auto"/>
              <w:ind w:left="0" w:firstLine="361"/>
              <w:jc w:val="left"/>
              <w:rPr>
                <w:rFonts w:hint="eastAsia" w:ascii="宋体" w:hAnsi="宋体" w:eastAsia="宋体"/>
                <w:b/>
                <w:w w:val="100"/>
                <w:sz w:val="18"/>
                <w:lang w:eastAsia="zh-CN"/>
              </w:rPr>
            </w:pPr>
          </w:p>
          <w:p>
            <w:pPr>
              <w:autoSpaceDE/>
              <w:autoSpaceDN/>
              <w:snapToGrid/>
              <w:spacing w:before="0" w:after="0" w:line="240" w:lineRule="auto"/>
              <w:ind w:left="0" w:firstLine="361"/>
              <w:jc w:val="left"/>
              <w:rPr>
                <w:rFonts w:hint="eastAsia" w:ascii="宋体" w:hAnsi="宋体" w:eastAsia="宋体"/>
                <w:b/>
                <w:w w:val="100"/>
                <w:sz w:val="18"/>
                <w:lang w:eastAsia="zh-CN"/>
              </w:rPr>
            </w:pPr>
            <w:r>
              <w:rPr>
                <w:rFonts w:hint="eastAsia" w:ascii="宋体" w:hAnsi="宋体" w:eastAsia="宋体"/>
                <w:b/>
                <w:w w:val="100"/>
                <w:sz w:val="18"/>
                <w:lang w:eastAsia="zh-CN"/>
              </w:rPr>
              <w:t>“提取住房公积金”事项的受理条件如下：</w:t>
            </w:r>
          </w:p>
          <w:p>
            <w:pPr>
              <w:autoSpaceDE/>
              <w:autoSpaceDN/>
              <w:snapToGrid/>
              <w:spacing w:before="0" w:after="0" w:line="240" w:lineRule="auto"/>
              <w:ind w:left="0" w:firstLine="0"/>
              <w:jc w:val="left"/>
              <w:rPr>
                <w:rFonts w:ascii="宋体" w:hAnsi="宋体" w:eastAsia="宋体"/>
                <w:b w:val="0"/>
                <w:w w:val="100"/>
                <w:sz w:val="18"/>
              </w:rPr>
            </w:pPr>
            <w:r>
              <w:rPr>
                <w:rFonts w:hint="eastAsia" w:ascii="Segoe UI" w:hAnsi="Segoe UI" w:eastAsia="宋体"/>
                <w:b w:val="0"/>
                <w:color w:val="333333"/>
                <w:w w:val="100"/>
                <w:sz w:val="19"/>
                <w:shd w:val="clear" w:color="000000" w:fill="FFFFFF"/>
                <w:lang w:eastAsia="zh-CN"/>
              </w:rPr>
              <w:t>1</w:t>
            </w:r>
            <w:r>
              <w:rPr>
                <w:rFonts w:hint="eastAsia" w:ascii="宋体" w:hAnsi="宋体" w:eastAsia="宋体"/>
                <w:b w:val="0"/>
                <w:w w:val="100"/>
                <w:sz w:val="18"/>
                <w:lang w:eastAsia="zh-CN"/>
              </w:rPr>
              <w:t>.职工离休、退休的，可提取本人的住房公积金。</w:t>
            </w:r>
          </w:p>
        </w:tc>
      </w:tr>
      <w:tr>
        <w:tblPrEx>
          <w:tblLayout w:type="fixed"/>
          <w:tblCellMar>
            <w:top w:w="0" w:type="dxa"/>
            <w:left w:w="0" w:type="dxa"/>
            <w:bottom w:w="0" w:type="dxa"/>
            <w:right w:w="0" w:type="dxa"/>
          </w:tblCellMar>
        </w:tblPrEx>
        <w:trPr>
          <w:trHeight w:val="276" w:hRule="atLeast"/>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申报材料</w:t>
            </w:r>
          </w:p>
        </w:tc>
      </w:tr>
      <w:tr>
        <w:tblPrEx>
          <w:tblLayout w:type="fixed"/>
          <w:tblCellMar>
            <w:top w:w="0" w:type="dxa"/>
            <w:left w:w="0" w:type="dxa"/>
            <w:bottom w:w="0" w:type="dxa"/>
            <w:right w:w="0" w:type="dxa"/>
          </w:tblCellMar>
        </w:tblPrEx>
        <w:trPr>
          <w:trHeight w:val="1122" w:hRule="atLeast"/>
          <w:jc w:val="center"/>
        </w:trPr>
        <w:tc>
          <w:tcPr>
            <w:tcW w:w="85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材料  名称</w:t>
            </w:r>
          </w:p>
        </w:tc>
        <w:tc>
          <w:tcPr>
            <w:tcW w:w="915"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来源渠道</w:t>
            </w:r>
          </w:p>
        </w:tc>
        <w:tc>
          <w:tcPr>
            <w:tcW w:w="65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材料类型</w:t>
            </w:r>
          </w:p>
        </w:tc>
        <w:tc>
          <w:tcPr>
            <w:tcW w:w="71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材料形式</w:t>
            </w:r>
          </w:p>
        </w:tc>
        <w:tc>
          <w:tcPr>
            <w:tcW w:w="90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纸质材料份数</w:t>
            </w:r>
          </w:p>
        </w:tc>
        <w:tc>
          <w:tcPr>
            <w:tcW w:w="1440"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材料必要性</w:t>
            </w:r>
          </w:p>
        </w:tc>
        <w:tc>
          <w:tcPr>
            <w:tcW w:w="1734"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材料下载</w:t>
            </w:r>
          </w:p>
        </w:tc>
        <w:tc>
          <w:tcPr>
            <w:tcW w:w="948"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纸质材料规格</w:t>
            </w:r>
          </w:p>
        </w:tc>
        <w:tc>
          <w:tcPr>
            <w:tcW w:w="121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填报须知</w:t>
            </w:r>
          </w:p>
        </w:tc>
      </w:tr>
      <w:tr>
        <w:tblPrEx>
          <w:tblLayout w:type="fixed"/>
          <w:tblCellMar>
            <w:top w:w="0" w:type="dxa"/>
            <w:left w:w="0" w:type="dxa"/>
            <w:bottom w:w="0" w:type="dxa"/>
            <w:right w:w="0" w:type="dxa"/>
          </w:tblCellMar>
        </w:tblPrEx>
        <w:trPr>
          <w:trHeight w:val="1986" w:hRule="atLeast"/>
          <w:jc w:val="center"/>
        </w:trPr>
        <w:tc>
          <w:tcPr>
            <w:tcW w:w="85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甘肃省企业职工“退休一件事”办理登记表</w:t>
            </w:r>
          </w:p>
        </w:tc>
        <w:tc>
          <w:tcPr>
            <w:tcW w:w="915"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申请人自备</w:t>
            </w:r>
          </w:p>
        </w:tc>
        <w:tc>
          <w:tcPr>
            <w:tcW w:w="65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原件</w:t>
            </w:r>
          </w:p>
        </w:tc>
        <w:tc>
          <w:tcPr>
            <w:tcW w:w="71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纸质、电子</w:t>
            </w:r>
          </w:p>
        </w:tc>
        <w:tc>
          <w:tcPr>
            <w:tcW w:w="90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1</w:t>
            </w:r>
          </w:p>
        </w:tc>
        <w:tc>
          <w:tcPr>
            <w:tcW w:w="1440"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必要</w:t>
            </w:r>
          </w:p>
        </w:tc>
        <w:tc>
          <w:tcPr>
            <w:tcW w:w="1734"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空白表格</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样例表格</w:t>
            </w:r>
          </w:p>
        </w:tc>
        <w:tc>
          <w:tcPr>
            <w:tcW w:w="948"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A4</w:t>
            </w:r>
          </w:p>
        </w:tc>
        <w:tc>
          <w:tcPr>
            <w:tcW w:w="121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无</w:t>
            </w:r>
          </w:p>
        </w:tc>
      </w:tr>
      <w:tr>
        <w:tblPrEx>
          <w:tblLayout w:type="fixed"/>
          <w:tblCellMar>
            <w:top w:w="0" w:type="dxa"/>
            <w:left w:w="0" w:type="dxa"/>
            <w:bottom w:w="0" w:type="dxa"/>
            <w:right w:w="0" w:type="dxa"/>
          </w:tblCellMar>
        </w:tblPrEx>
        <w:trPr>
          <w:trHeight w:val="2358" w:hRule="atLeast"/>
          <w:jc w:val="center"/>
        </w:trPr>
        <w:tc>
          <w:tcPr>
            <w:tcW w:w="85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关于拟退休人员基本养老金领取资格的</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公示</w:t>
            </w:r>
          </w:p>
        </w:tc>
        <w:tc>
          <w:tcPr>
            <w:tcW w:w="915"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申请人自备</w:t>
            </w:r>
          </w:p>
        </w:tc>
        <w:tc>
          <w:tcPr>
            <w:tcW w:w="65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原件</w:t>
            </w:r>
          </w:p>
        </w:tc>
        <w:tc>
          <w:tcPr>
            <w:tcW w:w="71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纸质、电子</w:t>
            </w:r>
          </w:p>
        </w:tc>
        <w:tc>
          <w:tcPr>
            <w:tcW w:w="90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1</w:t>
            </w:r>
          </w:p>
        </w:tc>
        <w:tc>
          <w:tcPr>
            <w:tcW w:w="1440"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必要</w:t>
            </w:r>
          </w:p>
        </w:tc>
        <w:tc>
          <w:tcPr>
            <w:tcW w:w="1734"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空白表格</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样例表格</w:t>
            </w:r>
          </w:p>
        </w:tc>
        <w:tc>
          <w:tcPr>
            <w:tcW w:w="948"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A4</w:t>
            </w:r>
          </w:p>
        </w:tc>
        <w:tc>
          <w:tcPr>
            <w:tcW w:w="121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灵活就业人员无需提供</w:t>
            </w:r>
          </w:p>
        </w:tc>
      </w:tr>
      <w:tr>
        <w:tblPrEx>
          <w:tblLayout w:type="fixed"/>
          <w:tblCellMar>
            <w:top w:w="0" w:type="dxa"/>
            <w:left w:w="0" w:type="dxa"/>
            <w:bottom w:w="0" w:type="dxa"/>
            <w:right w:w="0" w:type="dxa"/>
          </w:tblCellMar>
        </w:tblPrEx>
        <w:trPr>
          <w:trHeight w:val="1716" w:hRule="atLeast"/>
          <w:jc w:val="center"/>
        </w:trPr>
        <w:tc>
          <w:tcPr>
            <w:tcW w:w="85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w w:val="100"/>
                <w:sz w:val="18"/>
                <w:lang w:eastAsia="zh-CN"/>
              </w:rPr>
            </w:pP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公示</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证明</w:t>
            </w:r>
          </w:p>
        </w:tc>
        <w:tc>
          <w:tcPr>
            <w:tcW w:w="915"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申请人自备</w:t>
            </w:r>
          </w:p>
        </w:tc>
        <w:tc>
          <w:tcPr>
            <w:tcW w:w="65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原件</w:t>
            </w:r>
          </w:p>
        </w:tc>
        <w:tc>
          <w:tcPr>
            <w:tcW w:w="71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纸质、电子</w:t>
            </w:r>
          </w:p>
        </w:tc>
        <w:tc>
          <w:tcPr>
            <w:tcW w:w="90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1</w:t>
            </w:r>
          </w:p>
        </w:tc>
        <w:tc>
          <w:tcPr>
            <w:tcW w:w="1440"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必要</w:t>
            </w:r>
          </w:p>
        </w:tc>
        <w:tc>
          <w:tcPr>
            <w:tcW w:w="1734"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空白表格</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样例表格</w:t>
            </w:r>
          </w:p>
        </w:tc>
        <w:tc>
          <w:tcPr>
            <w:tcW w:w="948"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A4</w:t>
            </w:r>
          </w:p>
        </w:tc>
        <w:tc>
          <w:tcPr>
            <w:tcW w:w="121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灵活就业人员无需提供</w:t>
            </w:r>
          </w:p>
        </w:tc>
      </w:tr>
      <w:tr>
        <w:tblPrEx>
          <w:tblLayout w:type="fixed"/>
          <w:tblCellMar>
            <w:top w:w="0" w:type="dxa"/>
            <w:left w:w="0" w:type="dxa"/>
            <w:bottom w:w="0" w:type="dxa"/>
            <w:right w:w="0" w:type="dxa"/>
          </w:tblCellMar>
        </w:tblPrEx>
        <w:trPr>
          <w:trHeight w:val="3357" w:hRule="atLeast"/>
          <w:jc w:val="center"/>
        </w:trPr>
        <w:tc>
          <w:tcPr>
            <w:tcW w:w="85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w w:val="100"/>
                <w:sz w:val="18"/>
                <w:lang w:eastAsia="zh-CN"/>
              </w:rPr>
            </w:pPr>
          </w:p>
          <w:p>
            <w:pPr>
              <w:autoSpaceDE/>
              <w:autoSpaceDN/>
              <w:snapToGrid/>
              <w:spacing w:before="0" w:after="0" w:line="240" w:lineRule="auto"/>
              <w:ind w:left="0" w:firstLine="0"/>
              <w:jc w:val="center"/>
              <w:rPr>
                <w:rFonts w:hint="eastAsia" w:ascii="宋体" w:hAnsi="宋体" w:eastAsia="宋体"/>
                <w:b w:val="0"/>
                <w:w w:val="100"/>
                <w:sz w:val="18"/>
                <w:lang w:eastAsia="zh-CN"/>
              </w:rPr>
            </w:pPr>
          </w:p>
          <w:p>
            <w:pPr>
              <w:autoSpaceDE/>
              <w:autoSpaceDN/>
              <w:snapToGrid/>
              <w:spacing w:before="0" w:after="0" w:line="240" w:lineRule="auto"/>
              <w:ind w:left="0" w:firstLine="0"/>
              <w:jc w:val="center"/>
              <w:rPr>
                <w:rFonts w:hint="eastAsia" w:ascii="宋体" w:hAnsi="宋体" w:eastAsia="宋体"/>
                <w:b w:val="0"/>
                <w:w w:val="100"/>
                <w:sz w:val="18"/>
                <w:lang w:eastAsia="zh-CN"/>
              </w:rPr>
            </w:pP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职工个人档案（部分要件）</w:t>
            </w:r>
          </w:p>
        </w:tc>
        <w:tc>
          <w:tcPr>
            <w:tcW w:w="915"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申请人自备</w:t>
            </w:r>
          </w:p>
        </w:tc>
        <w:tc>
          <w:tcPr>
            <w:tcW w:w="65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原件</w:t>
            </w:r>
          </w:p>
        </w:tc>
        <w:tc>
          <w:tcPr>
            <w:tcW w:w="71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纸质、电子（扫描件）</w:t>
            </w:r>
          </w:p>
        </w:tc>
        <w:tc>
          <w:tcPr>
            <w:tcW w:w="90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1</w:t>
            </w:r>
          </w:p>
        </w:tc>
        <w:tc>
          <w:tcPr>
            <w:tcW w:w="1440" w:type="dxa"/>
            <w:gridSpan w:val="3"/>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必要</w:t>
            </w:r>
          </w:p>
        </w:tc>
        <w:tc>
          <w:tcPr>
            <w:tcW w:w="1734"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48"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1210"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r>
      <w:tr>
        <w:tblPrEx>
          <w:tblLayout w:type="fixed"/>
          <w:tblCellMar>
            <w:top w:w="0" w:type="dxa"/>
            <w:left w:w="0" w:type="dxa"/>
            <w:bottom w:w="0" w:type="dxa"/>
            <w:right w:w="0" w:type="dxa"/>
          </w:tblCellMar>
        </w:tblPrEx>
        <w:trPr>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法定依据</w:t>
            </w:r>
          </w:p>
        </w:tc>
      </w:tr>
      <w:tr>
        <w:tblPrEx>
          <w:tblLayout w:type="fixed"/>
          <w:tblCellMar>
            <w:top w:w="0" w:type="dxa"/>
            <w:left w:w="0" w:type="dxa"/>
            <w:bottom w:w="0" w:type="dxa"/>
            <w:right w:w="0" w:type="dxa"/>
          </w:tblCellMar>
        </w:tblPrEx>
        <w:trPr>
          <w:jc w:val="center"/>
        </w:trPr>
        <w:tc>
          <w:tcPr>
            <w:tcW w:w="1098" w:type="dxa"/>
            <w:gridSpan w:val="3"/>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both"/>
              <w:rPr>
                <w:rFonts w:hint="eastAsia" w:ascii="宋体" w:hAnsi="宋体" w:eastAsia="宋体"/>
                <w:b w:val="0"/>
                <w:w w:val="100"/>
                <w:sz w:val="18"/>
                <w:lang w:eastAsia="zh-CN"/>
              </w:rPr>
            </w:pPr>
            <w:r>
              <w:rPr>
                <w:rFonts w:hint="eastAsia" w:ascii="宋体" w:hAnsi="sans-serif" w:eastAsia="宋体"/>
                <w:b w:val="0"/>
                <w:w w:val="100"/>
                <w:sz w:val="18"/>
                <w:lang w:eastAsia="zh-CN"/>
              </w:rPr>
              <w:t>参保人员正常退休或提前退休、养老保险待遇核定发放</w:t>
            </w:r>
          </w:p>
        </w:tc>
        <w:tc>
          <w:tcPr>
            <w:tcW w:w="96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法律法规名称</w:t>
            </w:r>
          </w:p>
        </w:tc>
        <w:tc>
          <w:tcPr>
            <w:tcW w:w="7308" w:type="dxa"/>
            <w:gridSpan w:val="1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《中华人民共和国社会保险法》</w:t>
            </w:r>
          </w:p>
        </w:tc>
      </w:tr>
      <w:tr>
        <w:tblPrEx>
          <w:tblLayout w:type="fixed"/>
          <w:tblCellMar>
            <w:top w:w="0" w:type="dxa"/>
            <w:left w:w="0" w:type="dxa"/>
            <w:bottom w:w="0" w:type="dxa"/>
            <w:right w:w="0" w:type="dxa"/>
          </w:tblCellMar>
        </w:tblPrEx>
        <w:trPr>
          <w:jc w:val="center"/>
        </w:trPr>
        <w:tc>
          <w:tcPr>
            <w:tcW w:w="1098" w:type="dxa"/>
            <w:gridSpan w:val="3"/>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6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颁发机关</w:t>
            </w:r>
          </w:p>
        </w:tc>
        <w:tc>
          <w:tcPr>
            <w:tcW w:w="7308" w:type="dxa"/>
            <w:gridSpan w:val="1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全国人大常委会</w:t>
            </w:r>
          </w:p>
        </w:tc>
      </w:tr>
      <w:tr>
        <w:tblPrEx>
          <w:tblLayout w:type="fixed"/>
          <w:tblCellMar>
            <w:top w:w="0" w:type="dxa"/>
            <w:left w:w="0" w:type="dxa"/>
            <w:bottom w:w="0" w:type="dxa"/>
            <w:right w:w="0" w:type="dxa"/>
          </w:tblCellMar>
        </w:tblPrEx>
        <w:trPr>
          <w:jc w:val="center"/>
        </w:trPr>
        <w:tc>
          <w:tcPr>
            <w:tcW w:w="1098" w:type="dxa"/>
            <w:gridSpan w:val="3"/>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6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实施日期</w:t>
            </w:r>
          </w:p>
        </w:tc>
        <w:tc>
          <w:tcPr>
            <w:tcW w:w="7308" w:type="dxa"/>
            <w:gridSpan w:val="1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2011年7月1日</w:t>
            </w:r>
          </w:p>
        </w:tc>
      </w:tr>
      <w:tr>
        <w:tblPrEx>
          <w:tblLayout w:type="fixed"/>
          <w:tblCellMar>
            <w:top w:w="0" w:type="dxa"/>
            <w:left w:w="0" w:type="dxa"/>
            <w:bottom w:w="0" w:type="dxa"/>
            <w:right w:w="0" w:type="dxa"/>
          </w:tblCellMar>
        </w:tblPrEx>
        <w:trPr>
          <w:jc w:val="center"/>
        </w:trPr>
        <w:tc>
          <w:tcPr>
            <w:tcW w:w="1098" w:type="dxa"/>
            <w:gridSpan w:val="3"/>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6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条款内容</w:t>
            </w:r>
          </w:p>
        </w:tc>
        <w:tc>
          <w:tcPr>
            <w:tcW w:w="7308" w:type="dxa"/>
            <w:gridSpan w:val="1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numPr>
                <w:ilvl w:val="0"/>
                <w:numId w:val="1"/>
              </w:numPr>
              <w:shd w:val="clear" w:color="000000" w:fill="FFFFFF"/>
              <w:autoSpaceDE/>
              <w:autoSpaceDN/>
              <w:snapToGrid/>
              <w:spacing w:before="0" w:after="180" w:line="288" w:lineRule="atLeast"/>
              <w:ind w:left="0" w:firstLine="0"/>
              <w:jc w:val="both"/>
              <w:rPr>
                <w:rFonts w:ascii="宋体" w:hAnsi="宋体" w:eastAsia="宋体"/>
                <w:b w:val="0"/>
                <w:w w:val="100"/>
                <w:sz w:val="18"/>
              </w:rPr>
            </w:pPr>
            <w:r>
              <w:rPr>
                <w:rFonts w:ascii="sans-serif" w:hAnsi="sans-serif" w:eastAsia="宋体"/>
                <w:b w:val="0"/>
                <w:color w:val="333333"/>
                <w:w w:val="100"/>
                <w:sz w:val="18"/>
                <w:shd w:val="clear" w:color="000000" w:fill="FFFFFF"/>
              </w:rPr>
              <w:t>参加基本养老保险的个人，达到法定退休年龄时累计缴费满十五年的，按月领取基本养老金。参加基本养老保险的个人，达到法定退休年龄时累计缴费不足十五年的，可以缴费至满十五年，按月领取基本养老金</w:t>
            </w:r>
            <w:r>
              <w:rPr>
                <w:rFonts w:hint="eastAsia" w:ascii="sans-serif" w:hAnsi="sans-serif" w:eastAsia="宋体"/>
                <w:b w:val="0"/>
                <w:color w:val="333333"/>
                <w:w w:val="100"/>
                <w:sz w:val="18"/>
                <w:shd w:val="clear" w:color="000000" w:fill="FFFFFF"/>
                <w:lang w:eastAsia="zh-CN"/>
              </w:rPr>
              <w:t>。</w:t>
            </w:r>
          </w:p>
        </w:tc>
      </w:tr>
      <w:tr>
        <w:tblPrEx>
          <w:tblLayout w:type="fixed"/>
          <w:tblCellMar>
            <w:top w:w="0" w:type="dxa"/>
            <w:left w:w="0" w:type="dxa"/>
            <w:bottom w:w="0" w:type="dxa"/>
            <w:right w:w="0" w:type="dxa"/>
          </w:tblCellMar>
        </w:tblPrEx>
        <w:trPr>
          <w:trHeight w:val="716" w:hRule="atLeast"/>
          <w:jc w:val="center"/>
        </w:trPr>
        <w:tc>
          <w:tcPr>
            <w:tcW w:w="1098" w:type="dxa"/>
            <w:gridSpan w:val="3"/>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both"/>
              <w:rPr>
                <w:rFonts w:hint="eastAsia" w:ascii="宋体" w:hAnsi="宋体" w:eastAsia="宋体"/>
                <w:b w:val="0"/>
                <w:w w:val="100"/>
                <w:sz w:val="18"/>
                <w:lang w:eastAsia="zh-CN"/>
              </w:rPr>
            </w:pPr>
            <w:r>
              <w:rPr>
                <w:rFonts w:hint="eastAsia" w:ascii="宋体" w:hAnsi="sans-serif" w:eastAsia="宋体"/>
                <w:b w:val="0"/>
                <w:w w:val="100"/>
                <w:sz w:val="18"/>
                <w:lang w:eastAsia="zh-CN"/>
              </w:rPr>
              <w:t>基本医疗保险视同缴费年限核定（在职转退休登记）</w:t>
            </w:r>
          </w:p>
        </w:tc>
        <w:tc>
          <w:tcPr>
            <w:tcW w:w="96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法律法规名称</w:t>
            </w:r>
          </w:p>
        </w:tc>
        <w:tc>
          <w:tcPr>
            <w:tcW w:w="7308" w:type="dxa"/>
            <w:gridSpan w:val="1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sans-serif" w:hAnsi="sans-serif" w:eastAsia="宋体"/>
                <w:b w:val="0"/>
                <w:color w:val="333333"/>
                <w:w w:val="100"/>
                <w:sz w:val="18"/>
                <w:shd w:val="clear" w:color="000000" w:fill="FFFFFF"/>
                <w:lang w:eastAsia="zh-CN"/>
              </w:rPr>
            </w:pPr>
            <w:r>
              <w:rPr>
                <w:rFonts w:hint="eastAsia" w:ascii="sans-serif" w:hAnsi="sans-serif" w:eastAsia="宋体"/>
                <w:b w:val="0"/>
                <w:color w:val="333333"/>
                <w:w w:val="100"/>
                <w:sz w:val="18"/>
                <w:shd w:val="clear" w:color="000000" w:fill="FFFFFF"/>
                <w:lang w:eastAsia="zh-CN"/>
              </w:rPr>
              <w:t>关于印发《甘肃省医疗保障经办政务服务事项清单（2023版）》的通知（甘医保发【2023】68号</w:t>
            </w:r>
          </w:p>
        </w:tc>
      </w:tr>
      <w:tr>
        <w:tblPrEx>
          <w:tblLayout w:type="fixed"/>
          <w:tblCellMar>
            <w:top w:w="0" w:type="dxa"/>
            <w:left w:w="0" w:type="dxa"/>
            <w:bottom w:w="0" w:type="dxa"/>
            <w:right w:w="0" w:type="dxa"/>
          </w:tblCellMar>
        </w:tblPrEx>
        <w:trPr>
          <w:trHeight w:val="716" w:hRule="atLeast"/>
          <w:jc w:val="center"/>
        </w:trPr>
        <w:tc>
          <w:tcPr>
            <w:tcW w:w="1098" w:type="dxa"/>
            <w:gridSpan w:val="3"/>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6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颁发机关</w:t>
            </w:r>
          </w:p>
        </w:tc>
        <w:tc>
          <w:tcPr>
            <w:tcW w:w="7308" w:type="dxa"/>
            <w:gridSpan w:val="1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sans-serif" w:hAnsi="sans-serif" w:eastAsia="宋体"/>
                <w:b w:val="0"/>
                <w:color w:val="333333"/>
                <w:w w:val="100"/>
                <w:sz w:val="18"/>
                <w:shd w:val="clear" w:color="000000" w:fill="FFFFFF"/>
                <w:lang w:eastAsia="zh-CN"/>
              </w:rPr>
            </w:pPr>
            <w:r>
              <w:rPr>
                <w:rFonts w:hint="eastAsia" w:ascii="sans-serif" w:hAnsi="sans-serif" w:eastAsia="宋体"/>
                <w:b w:val="0"/>
                <w:color w:val="333333"/>
                <w:w w:val="100"/>
                <w:sz w:val="18"/>
                <w:shd w:val="clear" w:color="000000" w:fill="FFFFFF"/>
                <w:lang w:eastAsia="zh-CN"/>
              </w:rPr>
              <w:t>甘肃省医疗保障局</w:t>
            </w:r>
          </w:p>
        </w:tc>
      </w:tr>
      <w:tr>
        <w:tblPrEx>
          <w:tblLayout w:type="fixed"/>
          <w:tblCellMar>
            <w:top w:w="0" w:type="dxa"/>
            <w:left w:w="0" w:type="dxa"/>
            <w:bottom w:w="0" w:type="dxa"/>
            <w:right w:w="0" w:type="dxa"/>
          </w:tblCellMar>
        </w:tblPrEx>
        <w:trPr>
          <w:trHeight w:val="716" w:hRule="atLeast"/>
          <w:jc w:val="center"/>
        </w:trPr>
        <w:tc>
          <w:tcPr>
            <w:tcW w:w="1098" w:type="dxa"/>
            <w:gridSpan w:val="3"/>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6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实施日期</w:t>
            </w:r>
          </w:p>
        </w:tc>
        <w:tc>
          <w:tcPr>
            <w:tcW w:w="7308" w:type="dxa"/>
            <w:gridSpan w:val="1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sans-serif" w:hAnsi="sans-serif" w:eastAsia="宋体"/>
                <w:b w:val="0"/>
                <w:color w:val="333333"/>
                <w:w w:val="100"/>
                <w:sz w:val="18"/>
                <w:shd w:val="clear" w:color="000000" w:fill="FFFFFF"/>
                <w:lang w:eastAsia="zh-CN"/>
              </w:rPr>
            </w:pPr>
            <w:r>
              <w:rPr>
                <w:rFonts w:hint="eastAsia" w:ascii="sans-serif" w:hAnsi="sans-serif" w:eastAsia="宋体"/>
                <w:b w:val="0"/>
                <w:color w:val="333333"/>
                <w:w w:val="100"/>
                <w:sz w:val="18"/>
                <w:shd w:val="clear" w:color="000000" w:fill="FFFFFF"/>
                <w:lang w:eastAsia="zh-CN"/>
              </w:rPr>
              <w:t>2023年7月31日</w:t>
            </w:r>
          </w:p>
        </w:tc>
      </w:tr>
      <w:tr>
        <w:tblPrEx>
          <w:tblLayout w:type="fixed"/>
          <w:tblCellMar>
            <w:top w:w="0" w:type="dxa"/>
            <w:left w:w="0" w:type="dxa"/>
            <w:bottom w:w="0" w:type="dxa"/>
            <w:right w:w="0" w:type="dxa"/>
          </w:tblCellMar>
        </w:tblPrEx>
        <w:trPr>
          <w:trHeight w:val="716" w:hRule="atLeast"/>
          <w:jc w:val="center"/>
        </w:trPr>
        <w:tc>
          <w:tcPr>
            <w:tcW w:w="1098" w:type="dxa"/>
            <w:gridSpan w:val="3"/>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6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条款内容</w:t>
            </w:r>
          </w:p>
        </w:tc>
        <w:tc>
          <w:tcPr>
            <w:tcW w:w="7308" w:type="dxa"/>
            <w:gridSpan w:val="1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sans-serif" w:hAnsi="sans-serif" w:eastAsia="宋体"/>
                <w:b w:val="0"/>
                <w:color w:val="333333"/>
                <w:w w:val="100"/>
                <w:sz w:val="18"/>
                <w:shd w:val="clear" w:color="000000" w:fill="FFFFFF"/>
                <w:lang w:eastAsia="zh-CN"/>
              </w:rPr>
            </w:pPr>
            <w:r>
              <w:rPr>
                <w:rFonts w:hint="eastAsia" w:ascii="sans-serif" w:hAnsi="sans-serif" w:eastAsia="宋体"/>
                <w:b w:val="0"/>
                <w:color w:val="333333"/>
                <w:w w:val="100"/>
                <w:sz w:val="18"/>
                <w:shd w:val="clear" w:color="000000" w:fill="FFFFFF"/>
                <w:lang w:eastAsia="zh-CN"/>
              </w:rPr>
              <w:t>达到法定退休年龄且参加职工基本医疗保险的自然人可申请办理在职转退休登记。</w:t>
            </w:r>
          </w:p>
        </w:tc>
      </w:tr>
      <w:tr>
        <w:tblPrEx>
          <w:tblLayout w:type="fixed"/>
          <w:tblCellMar>
            <w:top w:w="0" w:type="dxa"/>
            <w:left w:w="0" w:type="dxa"/>
            <w:bottom w:w="0" w:type="dxa"/>
            <w:right w:w="0" w:type="dxa"/>
          </w:tblCellMar>
        </w:tblPrEx>
        <w:trPr>
          <w:trHeight w:val="57" w:hRule="atLeast"/>
          <w:jc w:val="center"/>
        </w:trPr>
        <w:tc>
          <w:tcPr>
            <w:tcW w:w="1098" w:type="dxa"/>
            <w:gridSpan w:val="3"/>
            <w:vMerge w:val="restar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离休、退休提取住房公积金</w:t>
            </w:r>
          </w:p>
        </w:tc>
        <w:tc>
          <w:tcPr>
            <w:tcW w:w="96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法律法规 名称</w:t>
            </w:r>
          </w:p>
        </w:tc>
        <w:tc>
          <w:tcPr>
            <w:tcW w:w="7308" w:type="dxa"/>
            <w:gridSpan w:val="1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《住房公积金管理条例》</w:t>
            </w:r>
          </w:p>
        </w:tc>
      </w:tr>
      <w:tr>
        <w:tblPrEx>
          <w:tblLayout w:type="fixed"/>
          <w:tblCellMar>
            <w:top w:w="0" w:type="dxa"/>
            <w:left w:w="0" w:type="dxa"/>
            <w:bottom w:w="0" w:type="dxa"/>
            <w:right w:w="0" w:type="dxa"/>
          </w:tblCellMar>
        </w:tblPrEx>
        <w:trPr>
          <w:trHeight w:val="57" w:hRule="atLeast"/>
          <w:jc w:val="center"/>
        </w:trPr>
        <w:tc>
          <w:tcPr>
            <w:tcW w:w="1098" w:type="dxa"/>
            <w:gridSpan w:val="3"/>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6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颁发机关</w:t>
            </w:r>
          </w:p>
        </w:tc>
        <w:tc>
          <w:tcPr>
            <w:tcW w:w="7308" w:type="dxa"/>
            <w:gridSpan w:val="1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国务院</w:t>
            </w:r>
          </w:p>
        </w:tc>
      </w:tr>
      <w:tr>
        <w:tblPrEx>
          <w:tblLayout w:type="fixed"/>
          <w:tblCellMar>
            <w:top w:w="0" w:type="dxa"/>
            <w:left w:w="0" w:type="dxa"/>
            <w:bottom w:w="0" w:type="dxa"/>
            <w:right w:w="0" w:type="dxa"/>
          </w:tblCellMar>
        </w:tblPrEx>
        <w:trPr>
          <w:trHeight w:val="57" w:hRule="atLeast"/>
          <w:jc w:val="center"/>
        </w:trPr>
        <w:tc>
          <w:tcPr>
            <w:tcW w:w="1098" w:type="dxa"/>
            <w:gridSpan w:val="3"/>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6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实施日期</w:t>
            </w:r>
          </w:p>
        </w:tc>
        <w:tc>
          <w:tcPr>
            <w:tcW w:w="7308" w:type="dxa"/>
            <w:gridSpan w:val="1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1999年4月3日</w:t>
            </w:r>
          </w:p>
        </w:tc>
      </w:tr>
      <w:tr>
        <w:tblPrEx>
          <w:tblLayout w:type="fixed"/>
          <w:tblCellMar>
            <w:top w:w="0" w:type="dxa"/>
            <w:left w:w="0" w:type="dxa"/>
            <w:bottom w:w="0" w:type="dxa"/>
            <w:right w:w="0" w:type="dxa"/>
          </w:tblCellMar>
        </w:tblPrEx>
        <w:trPr>
          <w:trHeight w:val="3253" w:hRule="atLeast"/>
          <w:jc w:val="center"/>
        </w:trPr>
        <w:tc>
          <w:tcPr>
            <w:tcW w:w="1098" w:type="dxa"/>
            <w:gridSpan w:val="3"/>
            <w:vMerge w:val="continue"/>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64"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条款内容</w:t>
            </w:r>
          </w:p>
        </w:tc>
        <w:tc>
          <w:tcPr>
            <w:tcW w:w="7308" w:type="dxa"/>
            <w:gridSpan w:val="1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firstLine="0"/>
              <w:jc w:val="left"/>
              <w:textAlignment w:val="auto"/>
              <w:rPr>
                <w:rFonts w:hint="eastAsia" w:ascii="宋体" w:hAnsi="宋体" w:eastAsia="宋体"/>
                <w:b w:val="0"/>
                <w:w w:val="100"/>
                <w:sz w:val="18"/>
                <w:lang w:eastAsia="zh-CN"/>
              </w:rPr>
            </w:pPr>
            <w:r>
              <w:rPr>
                <w:rFonts w:hint="eastAsia" w:ascii="宋体" w:hAnsi="宋体" w:eastAsia="宋体"/>
                <w:b w:val="0"/>
                <w:w w:val="100"/>
                <w:sz w:val="18"/>
                <w:lang w:eastAsia="zh-CN"/>
              </w:rPr>
              <w:t>第二十四条　职工有下列情形之一的，可以提取职工住房公积金账户内的存储余额：</w:t>
            </w:r>
          </w:p>
          <w:p>
            <w:pPr>
              <w:keepNext w:val="0"/>
              <w:keepLines w:val="0"/>
              <w:pageBreakBefore w:val="0"/>
              <w:widowControl w:val="0"/>
              <w:kinsoku/>
              <w:wordWrap/>
              <w:overflowPunct/>
              <w:topLinePunct w:val="0"/>
              <w:autoSpaceDE/>
              <w:autoSpaceDN/>
              <w:bidi w:val="0"/>
              <w:adjustRightInd/>
              <w:snapToGrid/>
              <w:spacing w:before="0" w:after="0" w:line="300" w:lineRule="exact"/>
              <w:ind w:left="0" w:firstLine="0"/>
              <w:jc w:val="left"/>
              <w:textAlignment w:val="auto"/>
              <w:rPr>
                <w:rFonts w:hint="eastAsia" w:ascii="宋体" w:hAnsi="宋体" w:eastAsia="宋体"/>
                <w:b w:val="0"/>
                <w:w w:val="100"/>
                <w:sz w:val="18"/>
                <w:lang w:eastAsia="zh-CN"/>
              </w:rPr>
            </w:pPr>
            <w:r>
              <w:rPr>
                <w:rFonts w:hint="eastAsia" w:ascii="宋体" w:hAnsi="宋体" w:eastAsia="宋体"/>
                <w:b w:val="0"/>
                <w:w w:val="100"/>
                <w:sz w:val="18"/>
                <w:lang w:eastAsia="zh-CN"/>
              </w:rPr>
              <w:t>　　（一）购买、建造、翻建、大修自住住房的；</w:t>
            </w:r>
          </w:p>
          <w:p>
            <w:pPr>
              <w:keepNext w:val="0"/>
              <w:keepLines w:val="0"/>
              <w:pageBreakBefore w:val="0"/>
              <w:widowControl w:val="0"/>
              <w:kinsoku/>
              <w:wordWrap/>
              <w:overflowPunct/>
              <w:topLinePunct w:val="0"/>
              <w:autoSpaceDE/>
              <w:autoSpaceDN/>
              <w:bidi w:val="0"/>
              <w:adjustRightInd/>
              <w:snapToGrid/>
              <w:spacing w:before="0" w:after="0" w:line="300" w:lineRule="exact"/>
              <w:ind w:left="0" w:firstLine="0"/>
              <w:jc w:val="left"/>
              <w:textAlignment w:val="auto"/>
              <w:rPr>
                <w:rFonts w:hint="eastAsia" w:ascii="宋体" w:hAnsi="宋体" w:eastAsia="宋体"/>
                <w:b w:val="0"/>
                <w:w w:val="100"/>
                <w:sz w:val="18"/>
                <w:lang w:eastAsia="zh-CN"/>
              </w:rPr>
            </w:pPr>
            <w:r>
              <w:rPr>
                <w:rFonts w:hint="eastAsia" w:ascii="宋体" w:hAnsi="宋体" w:eastAsia="宋体"/>
                <w:b w:val="0"/>
                <w:w w:val="100"/>
                <w:sz w:val="18"/>
                <w:lang w:eastAsia="zh-CN"/>
              </w:rPr>
              <w:t>　　（二）离休、退休的；</w:t>
            </w:r>
          </w:p>
          <w:p>
            <w:pPr>
              <w:keepNext w:val="0"/>
              <w:keepLines w:val="0"/>
              <w:pageBreakBefore w:val="0"/>
              <w:widowControl w:val="0"/>
              <w:kinsoku/>
              <w:wordWrap/>
              <w:overflowPunct/>
              <w:topLinePunct w:val="0"/>
              <w:autoSpaceDE/>
              <w:autoSpaceDN/>
              <w:bidi w:val="0"/>
              <w:adjustRightInd/>
              <w:snapToGrid/>
              <w:spacing w:before="0" w:after="0" w:line="300" w:lineRule="exact"/>
              <w:ind w:left="0" w:firstLine="0"/>
              <w:jc w:val="left"/>
              <w:textAlignment w:val="auto"/>
              <w:rPr>
                <w:rFonts w:hint="eastAsia" w:ascii="宋体" w:hAnsi="宋体" w:eastAsia="宋体"/>
                <w:b w:val="0"/>
                <w:w w:val="100"/>
                <w:sz w:val="18"/>
                <w:lang w:eastAsia="zh-CN"/>
              </w:rPr>
            </w:pPr>
            <w:r>
              <w:rPr>
                <w:rFonts w:hint="eastAsia" w:ascii="宋体" w:hAnsi="宋体" w:eastAsia="宋体"/>
                <w:b w:val="0"/>
                <w:w w:val="100"/>
                <w:sz w:val="18"/>
                <w:lang w:eastAsia="zh-CN"/>
              </w:rPr>
              <w:t>　　（三）完全丧失劳动能力，并与单位终止劳动关系的；</w:t>
            </w:r>
          </w:p>
          <w:p>
            <w:pPr>
              <w:keepNext w:val="0"/>
              <w:keepLines w:val="0"/>
              <w:pageBreakBefore w:val="0"/>
              <w:widowControl w:val="0"/>
              <w:kinsoku/>
              <w:wordWrap/>
              <w:overflowPunct/>
              <w:topLinePunct w:val="0"/>
              <w:autoSpaceDE/>
              <w:autoSpaceDN/>
              <w:bidi w:val="0"/>
              <w:adjustRightInd/>
              <w:snapToGrid/>
              <w:spacing w:before="0" w:after="0" w:line="300" w:lineRule="exact"/>
              <w:ind w:left="0" w:firstLine="0"/>
              <w:jc w:val="left"/>
              <w:textAlignment w:val="auto"/>
              <w:rPr>
                <w:rFonts w:hint="eastAsia" w:ascii="宋体" w:hAnsi="宋体" w:eastAsia="宋体"/>
                <w:b w:val="0"/>
                <w:w w:val="100"/>
                <w:sz w:val="18"/>
                <w:lang w:eastAsia="zh-CN"/>
              </w:rPr>
            </w:pPr>
            <w:r>
              <w:rPr>
                <w:rFonts w:hint="eastAsia" w:ascii="宋体" w:hAnsi="宋体" w:eastAsia="宋体"/>
                <w:b w:val="0"/>
                <w:w w:val="100"/>
                <w:sz w:val="18"/>
                <w:lang w:eastAsia="zh-CN"/>
              </w:rPr>
              <w:t>　　（四）出境定居的；</w:t>
            </w:r>
          </w:p>
          <w:p>
            <w:pPr>
              <w:keepNext w:val="0"/>
              <w:keepLines w:val="0"/>
              <w:pageBreakBefore w:val="0"/>
              <w:widowControl w:val="0"/>
              <w:kinsoku/>
              <w:wordWrap/>
              <w:overflowPunct/>
              <w:topLinePunct w:val="0"/>
              <w:autoSpaceDE/>
              <w:autoSpaceDN/>
              <w:bidi w:val="0"/>
              <w:adjustRightInd/>
              <w:snapToGrid/>
              <w:spacing w:before="0" w:after="0" w:line="300" w:lineRule="exact"/>
              <w:ind w:left="0" w:firstLine="0"/>
              <w:jc w:val="left"/>
              <w:textAlignment w:val="auto"/>
              <w:rPr>
                <w:rFonts w:hint="eastAsia" w:ascii="宋体" w:hAnsi="宋体" w:eastAsia="宋体"/>
                <w:b w:val="0"/>
                <w:w w:val="100"/>
                <w:sz w:val="18"/>
                <w:lang w:eastAsia="zh-CN"/>
              </w:rPr>
            </w:pPr>
            <w:r>
              <w:rPr>
                <w:rFonts w:hint="eastAsia" w:ascii="宋体" w:hAnsi="宋体" w:eastAsia="宋体"/>
                <w:b w:val="0"/>
                <w:w w:val="100"/>
                <w:sz w:val="18"/>
                <w:lang w:eastAsia="zh-CN"/>
              </w:rPr>
              <w:t>　　（五）偿还购房贷款本息的；</w:t>
            </w:r>
          </w:p>
          <w:p>
            <w:pPr>
              <w:keepNext w:val="0"/>
              <w:keepLines w:val="0"/>
              <w:pageBreakBefore w:val="0"/>
              <w:widowControl w:val="0"/>
              <w:kinsoku/>
              <w:wordWrap/>
              <w:overflowPunct/>
              <w:topLinePunct w:val="0"/>
              <w:autoSpaceDE/>
              <w:autoSpaceDN/>
              <w:bidi w:val="0"/>
              <w:adjustRightInd/>
              <w:snapToGrid/>
              <w:spacing w:before="0" w:after="0" w:line="300" w:lineRule="exact"/>
              <w:ind w:left="0" w:firstLine="0"/>
              <w:jc w:val="left"/>
              <w:textAlignment w:val="auto"/>
              <w:rPr>
                <w:rFonts w:hint="eastAsia" w:ascii="宋体" w:hAnsi="宋体" w:eastAsia="宋体"/>
                <w:b w:val="0"/>
                <w:w w:val="100"/>
                <w:sz w:val="18"/>
                <w:lang w:eastAsia="zh-CN"/>
              </w:rPr>
            </w:pPr>
            <w:r>
              <w:rPr>
                <w:rFonts w:hint="eastAsia" w:ascii="宋体" w:hAnsi="宋体" w:eastAsia="宋体"/>
                <w:b w:val="0"/>
                <w:w w:val="100"/>
                <w:sz w:val="18"/>
                <w:lang w:eastAsia="zh-CN"/>
              </w:rPr>
              <w:t>　　（六）房租超出家庭工资收入的规定比例的。</w:t>
            </w:r>
          </w:p>
          <w:p>
            <w:pPr>
              <w:keepNext w:val="0"/>
              <w:keepLines w:val="0"/>
              <w:pageBreakBefore w:val="0"/>
              <w:widowControl w:val="0"/>
              <w:kinsoku/>
              <w:wordWrap/>
              <w:overflowPunct/>
              <w:topLinePunct w:val="0"/>
              <w:autoSpaceDE/>
              <w:autoSpaceDN/>
              <w:bidi w:val="0"/>
              <w:adjustRightInd/>
              <w:snapToGrid/>
              <w:spacing w:before="0" w:after="0" w:line="300" w:lineRule="exact"/>
              <w:ind w:left="0" w:firstLine="0"/>
              <w:jc w:val="left"/>
              <w:textAlignment w:val="auto"/>
              <w:rPr>
                <w:rFonts w:hint="eastAsia" w:ascii="宋体" w:hAnsi="宋体" w:eastAsia="宋体"/>
                <w:b w:val="0"/>
                <w:w w:val="100"/>
                <w:sz w:val="18"/>
                <w:lang w:eastAsia="zh-CN"/>
              </w:rPr>
            </w:pPr>
            <w:r>
              <w:rPr>
                <w:rFonts w:hint="eastAsia" w:ascii="宋体" w:hAnsi="宋体" w:eastAsia="宋体"/>
                <w:b w:val="0"/>
                <w:w w:val="100"/>
                <w:sz w:val="18"/>
                <w:lang w:eastAsia="zh-CN"/>
              </w:rPr>
              <w:t>依照前款第（二）、（三）、（四）项规定，提取职工住房公积金的，应当同时注销职工住房公积金账户。</w:t>
            </w:r>
          </w:p>
          <w:p>
            <w:pPr>
              <w:autoSpaceDE/>
              <w:autoSpaceDN/>
              <w:snapToGrid/>
              <w:spacing w:before="0" w:after="0" w:line="240" w:lineRule="auto"/>
              <w:ind w:left="0" w:firstLine="0"/>
              <w:jc w:val="both"/>
              <w:rPr>
                <w:rFonts w:hint="eastAsia" w:ascii="宋体" w:hAnsi="宋体" w:eastAsia="宋体"/>
                <w:b w:val="0"/>
                <w:w w:val="100"/>
                <w:sz w:val="18"/>
                <w:lang w:eastAsia="zh-CN"/>
              </w:rPr>
            </w:pPr>
          </w:p>
        </w:tc>
      </w:tr>
      <w:tr>
        <w:tblPrEx>
          <w:tblLayout w:type="fixed"/>
          <w:tblCellMar>
            <w:top w:w="0" w:type="dxa"/>
            <w:left w:w="0" w:type="dxa"/>
            <w:bottom w:w="0" w:type="dxa"/>
            <w:right w:w="0" w:type="dxa"/>
          </w:tblCellMar>
        </w:tblPrEx>
        <w:trPr>
          <w:trHeight w:val="566" w:hRule="atLeast"/>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办理流程</w:t>
            </w:r>
          </w:p>
        </w:tc>
      </w:tr>
      <w:tr>
        <w:tblPrEx>
          <w:tblLayout w:type="fixed"/>
          <w:tblCellMar>
            <w:top w:w="0" w:type="dxa"/>
            <w:left w:w="0" w:type="dxa"/>
            <w:bottom w:w="0" w:type="dxa"/>
            <w:right w:w="0" w:type="dxa"/>
          </w:tblCellMar>
        </w:tblPrEx>
        <w:trPr>
          <w:trHeight w:val="14317" w:hRule="atLeast"/>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both"/>
              <w:rPr>
                <w:rFonts w:ascii="宋体" w:hAnsi="宋体" w:eastAsia="宋体"/>
                <w:b w:val="0"/>
                <w:w w:val="100"/>
                <w:sz w:val="18"/>
              </w:rPr>
            </w:pPr>
            <w:r>
              <w:rPr>
                <w:rFonts w:ascii="Calibri" w:hAnsi="Times New Roman" w:eastAsia="宋体"/>
                <w:b w:val="0"/>
                <w:w w:val="100"/>
                <w:sz w:val="21"/>
              </w:rPr>
              <w:drawing>
                <wp:anchor distT="0" distB="0" distL="114300" distR="114300" simplePos="0" relativeHeight="251658240" behindDoc="0" locked="0" layoutInCell="1" allowOverlap="1">
                  <wp:simplePos x="0" y="0"/>
                  <wp:positionH relativeFrom="column">
                    <wp:posOffset>45720</wp:posOffset>
                  </wp:positionH>
                  <wp:positionV relativeFrom="paragraph">
                    <wp:posOffset>3853180</wp:posOffset>
                  </wp:positionV>
                  <wp:extent cx="5714365" cy="4068445"/>
                  <wp:effectExtent l="0" t="0" r="635" b="8255"/>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8"/>
                          <a:stretch>
                            <a:fillRect/>
                          </a:stretch>
                        </pic:blipFill>
                        <pic:spPr>
                          <a:xfrm>
                            <a:off x="0" y="0"/>
                            <a:ext cx="5714365" cy="4068445"/>
                          </a:xfrm>
                          <a:prstGeom prst="rect">
                            <a:avLst/>
                          </a:prstGeom>
                          <a:noFill/>
                          <a:ln w="9525">
                            <a:noFill/>
                          </a:ln>
                        </pic:spPr>
                      </pic:pic>
                    </a:graphicData>
                  </a:graphic>
                </wp:anchor>
              </w:drawing>
            </w:r>
            <w:r>
              <w:rPr>
                <w:rFonts w:ascii="Calibri" w:hAnsi="Times New Roman" w:eastAsia="宋体"/>
                <w:b w:val="0"/>
                <w:w w:val="100"/>
                <w:sz w:val="21"/>
              </w:rPr>
              <w:drawing>
                <wp:inline distT="0" distB="0" distL="114300" distR="114300">
                  <wp:extent cx="5808980" cy="3639820"/>
                  <wp:effectExtent l="0" t="0" r="127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808980" cy="3639820"/>
                          </a:xfrm>
                          <a:prstGeom prst="rect">
                            <a:avLst/>
                          </a:prstGeom>
                          <a:noFill/>
                          <a:ln w="9525">
                            <a:noFill/>
                          </a:ln>
                        </pic:spPr>
                      </pic:pic>
                    </a:graphicData>
                  </a:graphic>
                </wp:inline>
              </w:drawing>
            </w:r>
          </w:p>
        </w:tc>
      </w:tr>
      <w:tr>
        <w:tblPrEx>
          <w:tblLayout w:type="fixed"/>
          <w:tblCellMar>
            <w:top w:w="0" w:type="dxa"/>
            <w:left w:w="0" w:type="dxa"/>
            <w:bottom w:w="0" w:type="dxa"/>
            <w:right w:w="0" w:type="dxa"/>
          </w:tblCellMar>
        </w:tblPrEx>
        <w:trPr>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联办事项</w:t>
            </w:r>
          </w:p>
        </w:tc>
      </w:tr>
      <w:tr>
        <w:tblPrEx>
          <w:tblLayout w:type="fixed"/>
          <w:tblCellMar>
            <w:top w:w="0" w:type="dxa"/>
            <w:left w:w="0" w:type="dxa"/>
            <w:bottom w:w="0" w:type="dxa"/>
            <w:right w:w="0" w:type="dxa"/>
          </w:tblCellMar>
        </w:tblPrEx>
        <w:trPr>
          <w:trHeight w:val="811"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事项名称</w:t>
            </w:r>
          </w:p>
        </w:tc>
        <w:tc>
          <w:tcPr>
            <w:tcW w:w="65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办件</w:t>
            </w:r>
          </w:p>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类型</w:t>
            </w:r>
          </w:p>
        </w:tc>
        <w:tc>
          <w:tcPr>
            <w:tcW w:w="131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受理部门</w:t>
            </w:r>
          </w:p>
        </w:tc>
        <w:tc>
          <w:tcPr>
            <w:tcW w:w="1739"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审批结果类型</w:t>
            </w:r>
          </w:p>
        </w:tc>
        <w:tc>
          <w:tcPr>
            <w:tcW w:w="6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审批结果名称</w:t>
            </w:r>
          </w:p>
        </w:tc>
        <w:tc>
          <w:tcPr>
            <w:tcW w:w="98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是否支持物流快递</w:t>
            </w:r>
          </w:p>
        </w:tc>
        <w:tc>
          <w:tcPr>
            <w:tcW w:w="92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审批结果样本</w:t>
            </w:r>
          </w:p>
        </w:tc>
        <w:tc>
          <w:tcPr>
            <w:tcW w:w="136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办事指南</w:t>
            </w:r>
          </w:p>
        </w:tc>
      </w:tr>
      <w:tr>
        <w:tblPrEx>
          <w:tblLayout w:type="fixed"/>
          <w:tblCellMar>
            <w:top w:w="0" w:type="dxa"/>
            <w:left w:w="0" w:type="dxa"/>
            <w:bottom w:w="0" w:type="dxa"/>
            <w:right w:w="0" w:type="dxa"/>
          </w:tblCellMar>
        </w:tblPrEx>
        <w:trPr>
          <w:trHeight w:val="1108"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exact"/>
              <w:ind w:left="0" w:firstLine="0"/>
              <w:jc w:val="both"/>
              <w:rPr>
                <w:rFonts w:hint="eastAsia" w:ascii="宋体" w:hAnsi="宋体" w:eastAsia="宋体"/>
                <w:b w:val="0"/>
                <w:w w:val="100"/>
                <w:sz w:val="18"/>
                <w:lang w:eastAsia="zh-CN"/>
              </w:rPr>
            </w:pPr>
            <w:r>
              <w:rPr>
                <w:rFonts w:ascii="宋体" w:hAnsi="宋体" w:eastAsia="宋体"/>
                <w:b w:val="0"/>
                <w:w w:val="100"/>
                <w:sz w:val="21"/>
              </w:rPr>
              <w:t>参保人员达到法定退休年龄领取基本养老保险待遇资格确认</w:t>
            </w:r>
          </w:p>
        </w:tc>
        <w:tc>
          <w:tcPr>
            <w:tcW w:w="65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承诺件</w:t>
            </w:r>
          </w:p>
        </w:tc>
        <w:tc>
          <w:tcPr>
            <w:tcW w:w="131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各级社保经办机构</w:t>
            </w:r>
          </w:p>
        </w:tc>
        <w:tc>
          <w:tcPr>
            <w:tcW w:w="1739"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无</w:t>
            </w:r>
          </w:p>
        </w:tc>
        <w:tc>
          <w:tcPr>
            <w:tcW w:w="6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8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否</w:t>
            </w:r>
          </w:p>
        </w:tc>
        <w:tc>
          <w:tcPr>
            <w:tcW w:w="92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136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点击前往</w:t>
            </w:r>
          </w:p>
        </w:tc>
      </w:tr>
      <w:tr>
        <w:tblPrEx>
          <w:tblLayout w:type="fixed"/>
          <w:tblCellMar>
            <w:top w:w="0" w:type="dxa"/>
            <w:left w:w="0" w:type="dxa"/>
            <w:bottom w:w="0" w:type="dxa"/>
            <w:right w:w="0" w:type="dxa"/>
          </w:tblCellMar>
        </w:tblPrEx>
        <w:trPr>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1"/>
                <w:lang w:eastAsia="zh-CN"/>
              </w:rPr>
            </w:pPr>
            <w:r>
              <w:rPr>
                <w:rFonts w:hint="eastAsia" w:ascii="宋体" w:hAnsi="宋体" w:eastAsia="宋体"/>
                <w:b w:val="0"/>
                <w:w w:val="100"/>
                <w:sz w:val="21"/>
                <w:lang w:eastAsia="zh-CN"/>
              </w:rPr>
              <w:t>基本养老保险视同缴费年限认定</w:t>
            </w:r>
          </w:p>
        </w:tc>
        <w:tc>
          <w:tcPr>
            <w:tcW w:w="65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承诺件</w:t>
            </w:r>
          </w:p>
        </w:tc>
        <w:tc>
          <w:tcPr>
            <w:tcW w:w="131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各级社保经办机构</w:t>
            </w:r>
          </w:p>
        </w:tc>
        <w:tc>
          <w:tcPr>
            <w:tcW w:w="1739"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无</w:t>
            </w:r>
          </w:p>
        </w:tc>
        <w:tc>
          <w:tcPr>
            <w:tcW w:w="6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8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否</w:t>
            </w:r>
          </w:p>
        </w:tc>
        <w:tc>
          <w:tcPr>
            <w:tcW w:w="92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136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点击前往</w:t>
            </w:r>
          </w:p>
        </w:tc>
      </w:tr>
      <w:tr>
        <w:tblPrEx>
          <w:tblLayout w:type="fixed"/>
          <w:tblCellMar>
            <w:top w:w="0" w:type="dxa"/>
            <w:left w:w="0" w:type="dxa"/>
            <w:bottom w:w="0" w:type="dxa"/>
            <w:right w:w="0" w:type="dxa"/>
          </w:tblCellMar>
        </w:tblPrEx>
        <w:trPr>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1"/>
                <w:lang w:eastAsia="zh-CN"/>
              </w:rPr>
            </w:pPr>
            <w:r>
              <w:rPr>
                <w:rFonts w:hint="eastAsia" w:ascii="宋体" w:hAnsi="宋体" w:eastAsia="宋体"/>
                <w:b w:val="0"/>
                <w:w w:val="100"/>
                <w:sz w:val="21"/>
                <w:lang w:eastAsia="zh-CN"/>
              </w:rPr>
              <w:t>新增退休人员养老保险待遇核定发放</w:t>
            </w:r>
          </w:p>
        </w:tc>
        <w:tc>
          <w:tcPr>
            <w:tcW w:w="65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即办件</w:t>
            </w:r>
          </w:p>
        </w:tc>
        <w:tc>
          <w:tcPr>
            <w:tcW w:w="131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各级社保经办机构</w:t>
            </w:r>
          </w:p>
        </w:tc>
        <w:tc>
          <w:tcPr>
            <w:tcW w:w="1739"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无</w:t>
            </w:r>
          </w:p>
        </w:tc>
        <w:tc>
          <w:tcPr>
            <w:tcW w:w="6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8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否</w:t>
            </w:r>
          </w:p>
        </w:tc>
        <w:tc>
          <w:tcPr>
            <w:tcW w:w="92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136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点击前往</w:t>
            </w:r>
          </w:p>
        </w:tc>
      </w:tr>
      <w:tr>
        <w:tblPrEx>
          <w:tblLayout w:type="fixed"/>
          <w:tblCellMar>
            <w:top w:w="0" w:type="dxa"/>
            <w:left w:w="0" w:type="dxa"/>
            <w:bottom w:w="0" w:type="dxa"/>
            <w:right w:w="0" w:type="dxa"/>
          </w:tblCellMar>
        </w:tblPrEx>
        <w:trPr>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1"/>
                <w:lang w:eastAsia="zh-CN"/>
              </w:rPr>
            </w:pPr>
            <w:r>
              <w:rPr>
                <w:rFonts w:hint="eastAsia" w:ascii="宋体" w:hAnsi="宋体" w:eastAsia="宋体"/>
                <w:b w:val="0"/>
                <w:w w:val="100"/>
                <w:sz w:val="21"/>
                <w:lang w:eastAsia="zh-CN"/>
              </w:rPr>
              <w:t>特殊工种提前退休核准</w:t>
            </w:r>
          </w:p>
        </w:tc>
        <w:tc>
          <w:tcPr>
            <w:tcW w:w="65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承诺件</w:t>
            </w:r>
          </w:p>
        </w:tc>
        <w:tc>
          <w:tcPr>
            <w:tcW w:w="131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各级人社行政部门</w:t>
            </w:r>
          </w:p>
        </w:tc>
        <w:tc>
          <w:tcPr>
            <w:tcW w:w="1739"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无</w:t>
            </w:r>
          </w:p>
        </w:tc>
        <w:tc>
          <w:tcPr>
            <w:tcW w:w="6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8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否</w:t>
            </w:r>
          </w:p>
        </w:tc>
        <w:tc>
          <w:tcPr>
            <w:tcW w:w="92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136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点击前往</w:t>
            </w:r>
          </w:p>
        </w:tc>
      </w:tr>
      <w:tr>
        <w:tblPrEx>
          <w:tblLayout w:type="fixed"/>
          <w:tblCellMar>
            <w:top w:w="0" w:type="dxa"/>
            <w:left w:w="0" w:type="dxa"/>
            <w:bottom w:w="0" w:type="dxa"/>
            <w:right w:w="0" w:type="dxa"/>
          </w:tblCellMar>
        </w:tblPrEx>
        <w:trPr>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1"/>
                <w:lang w:eastAsia="zh-CN"/>
              </w:rPr>
            </w:pPr>
            <w:r>
              <w:rPr>
                <w:rFonts w:hint="eastAsia" w:ascii="宋体" w:hAnsi="宋体" w:eastAsia="宋体"/>
                <w:b w:val="0"/>
                <w:w w:val="100"/>
                <w:sz w:val="21"/>
                <w:lang w:eastAsia="zh-CN"/>
              </w:rPr>
              <w:t>因病或非因工致残完全丧失劳动能力提前退休（退职）核准</w:t>
            </w:r>
          </w:p>
        </w:tc>
        <w:tc>
          <w:tcPr>
            <w:tcW w:w="65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承诺件</w:t>
            </w:r>
          </w:p>
        </w:tc>
        <w:tc>
          <w:tcPr>
            <w:tcW w:w="131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各级人社行政部门</w:t>
            </w:r>
          </w:p>
        </w:tc>
        <w:tc>
          <w:tcPr>
            <w:tcW w:w="1739"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无</w:t>
            </w:r>
          </w:p>
        </w:tc>
        <w:tc>
          <w:tcPr>
            <w:tcW w:w="6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8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否</w:t>
            </w:r>
          </w:p>
        </w:tc>
        <w:tc>
          <w:tcPr>
            <w:tcW w:w="92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136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点击前往</w:t>
            </w:r>
          </w:p>
        </w:tc>
      </w:tr>
      <w:tr>
        <w:tblPrEx>
          <w:tblLayout w:type="fixed"/>
          <w:tblCellMar>
            <w:top w:w="0" w:type="dxa"/>
            <w:left w:w="0" w:type="dxa"/>
            <w:bottom w:w="0" w:type="dxa"/>
            <w:right w:w="0" w:type="dxa"/>
          </w:tblCellMar>
        </w:tblPrEx>
        <w:trPr>
          <w:trHeight w:val="1215"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FF"/>
                <w:w w:val="100"/>
                <w:sz w:val="21"/>
                <w:lang w:eastAsia="zh-CN"/>
              </w:rPr>
            </w:pPr>
            <w:r>
              <w:rPr>
                <w:rFonts w:hint="eastAsia" w:ascii="宋体" w:hAnsi="宋体" w:eastAsia="宋体"/>
                <w:b w:val="0"/>
                <w:w w:val="100"/>
                <w:sz w:val="21"/>
                <w:lang w:eastAsia="zh-CN"/>
              </w:rPr>
              <w:t>基本医疗保险视同缴费年限核定（在职转退休登记）</w:t>
            </w:r>
          </w:p>
        </w:tc>
        <w:tc>
          <w:tcPr>
            <w:tcW w:w="65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承诺件</w:t>
            </w:r>
          </w:p>
        </w:tc>
        <w:tc>
          <w:tcPr>
            <w:tcW w:w="131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各级医疗保险部门</w:t>
            </w:r>
          </w:p>
        </w:tc>
        <w:tc>
          <w:tcPr>
            <w:tcW w:w="1739"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无</w:t>
            </w:r>
          </w:p>
        </w:tc>
        <w:tc>
          <w:tcPr>
            <w:tcW w:w="6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8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否</w:t>
            </w:r>
          </w:p>
        </w:tc>
        <w:tc>
          <w:tcPr>
            <w:tcW w:w="92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136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点击前往</w:t>
            </w:r>
          </w:p>
        </w:tc>
      </w:tr>
      <w:tr>
        <w:tblPrEx>
          <w:tblLayout w:type="fixed"/>
          <w:tblCellMar>
            <w:top w:w="0" w:type="dxa"/>
            <w:left w:w="0" w:type="dxa"/>
            <w:bottom w:w="0" w:type="dxa"/>
            <w:right w:w="0" w:type="dxa"/>
          </w:tblCellMar>
        </w:tblPrEx>
        <w:trPr>
          <w:trHeight w:val="808"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1"/>
                <w:lang w:eastAsia="zh-CN"/>
              </w:rPr>
            </w:pPr>
            <w:r>
              <w:rPr>
                <w:rFonts w:hint="eastAsia" w:ascii="宋体" w:hAnsi="宋体" w:eastAsia="宋体"/>
                <w:b w:val="0"/>
                <w:w w:val="100"/>
                <w:sz w:val="21"/>
                <w:lang w:eastAsia="zh-CN"/>
              </w:rPr>
              <w:t>离休、退休提取住房公积金</w:t>
            </w:r>
          </w:p>
        </w:tc>
        <w:tc>
          <w:tcPr>
            <w:tcW w:w="65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承诺件</w:t>
            </w:r>
          </w:p>
        </w:tc>
        <w:tc>
          <w:tcPr>
            <w:tcW w:w="131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各级住房公积金管理机构</w:t>
            </w:r>
          </w:p>
        </w:tc>
        <w:tc>
          <w:tcPr>
            <w:tcW w:w="1739"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无</w:t>
            </w:r>
          </w:p>
        </w:tc>
        <w:tc>
          <w:tcPr>
            <w:tcW w:w="626"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985"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否</w:t>
            </w:r>
          </w:p>
        </w:tc>
        <w:tc>
          <w:tcPr>
            <w:tcW w:w="921"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p>
        </w:tc>
        <w:tc>
          <w:tcPr>
            <w:tcW w:w="1360"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点击前往</w:t>
            </w:r>
          </w:p>
        </w:tc>
      </w:tr>
      <w:tr>
        <w:tblPrEx>
          <w:tblLayout w:type="fixed"/>
          <w:tblCellMar>
            <w:top w:w="0" w:type="dxa"/>
            <w:left w:w="0" w:type="dxa"/>
            <w:bottom w:w="0" w:type="dxa"/>
            <w:right w:w="0" w:type="dxa"/>
          </w:tblCellMar>
        </w:tblPrEx>
        <w:trPr>
          <w:trHeight w:val="333" w:hRule="atLeast"/>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服务成效</w:t>
            </w:r>
          </w:p>
        </w:tc>
      </w:tr>
      <w:tr>
        <w:tblPrEx>
          <w:tblLayout w:type="fixed"/>
          <w:tblCellMar>
            <w:top w:w="0" w:type="dxa"/>
            <w:left w:w="0" w:type="dxa"/>
            <w:bottom w:w="0" w:type="dxa"/>
            <w:right w:w="0" w:type="dxa"/>
          </w:tblCellMar>
        </w:tblPrEx>
        <w:trPr>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减时间</w:t>
            </w:r>
          </w:p>
        </w:tc>
        <w:tc>
          <w:tcPr>
            <w:tcW w:w="7597" w:type="dxa"/>
            <w:gridSpan w:val="16"/>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left"/>
              <w:rPr>
                <w:rFonts w:ascii="宋体" w:hAnsi="宋体" w:eastAsia="宋体"/>
                <w:b w:val="0"/>
                <w:w w:val="100"/>
                <w:sz w:val="18"/>
              </w:rPr>
            </w:pPr>
            <w:r>
              <w:rPr>
                <w:rFonts w:hint="eastAsia" w:ascii="宋体" w:hAnsi="宋体" w:eastAsia="宋体"/>
                <w:b w:val="0"/>
                <w:w w:val="100"/>
                <w:sz w:val="18"/>
                <w:lang w:eastAsia="zh-CN"/>
              </w:rPr>
              <w:t>通过“一网受理”，多部门协同办理，减少群众等待时间，事项累积办理时间由将近60</w:t>
            </w:r>
            <w:r>
              <w:rPr>
                <w:rFonts w:ascii="宋体" w:hAnsi="宋体" w:eastAsia="宋体"/>
                <w:b w:val="0"/>
                <w:w w:val="100"/>
                <w:sz w:val="18"/>
              </w:rPr>
              <w:t>个工作日减少至不超过</w:t>
            </w:r>
            <w:r>
              <w:rPr>
                <w:rFonts w:hint="eastAsia" w:ascii="宋体" w:hAnsi="宋体" w:eastAsia="宋体"/>
                <w:b w:val="0"/>
                <w:w w:val="100"/>
                <w:sz w:val="18"/>
                <w:lang w:eastAsia="zh-CN"/>
              </w:rPr>
              <w:t xml:space="preserve"> 20</w:t>
            </w:r>
            <w:r>
              <w:rPr>
                <w:rFonts w:ascii="宋体" w:hAnsi="宋体" w:eastAsia="宋体"/>
                <w:b w:val="0"/>
                <w:w w:val="100"/>
                <w:sz w:val="18"/>
              </w:rPr>
              <w:t>个工作日。</w:t>
            </w:r>
          </w:p>
        </w:tc>
      </w:tr>
      <w:tr>
        <w:tblPrEx>
          <w:tblLayout w:type="fixed"/>
          <w:tblCellMar>
            <w:top w:w="0" w:type="dxa"/>
            <w:left w:w="0" w:type="dxa"/>
            <w:bottom w:w="0" w:type="dxa"/>
            <w:right w:w="0" w:type="dxa"/>
          </w:tblCellMar>
        </w:tblPrEx>
        <w:trPr>
          <w:trHeight w:val="623"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减跑动</w:t>
            </w:r>
          </w:p>
        </w:tc>
        <w:tc>
          <w:tcPr>
            <w:tcW w:w="7597" w:type="dxa"/>
            <w:gridSpan w:val="16"/>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left"/>
              <w:rPr>
                <w:rFonts w:ascii="宋体" w:hAnsi="宋体" w:eastAsia="宋体"/>
                <w:b w:val="0"/>
                <w:w w:val="100"/>
                <w:sz w:val="18"/>
              </w:rPr>
            </w:pPr>
            <w:r>
              <w:rPr>
                <w:rFonts w:hint="eastAsia" w:ascii="宋体" w:hAnsi="宋体" w:eastAsia="宋体"/>
                <w:b w:val="0"/>
                <w:w w:val="100"/>
                <w:sz w:val="18"/>
                <w:lang w:eastAsia="zh-CN"/>
              </w:rPr>
              <w:t>通过协同办理、全流程办理、申请人不用不同部门跑，跑动次数大大减少，跑动次数由5</w:t>
            </w:r>
            <w:r>
              <w:rPr>
                <w:rFonts w:ascii="宋体" w:hAnsi="宋体" w:eastAsia="宋体"/>
                <w:b w:val="0"/>
                <w:w w:val="100"/>
                <w:sz w:val="18"/>
              </w:rPr>
              <w:t>次减少至“最多跑1次”，甚至“零跑动”。</w:t>
            </w:r>
          </w:p>
        </w:tc>
      </w:tr>
      <w:tr>
        <w:tblPrEx>
          <w:tblLayout w:type="fixed"/>
          <w:tblCellMar>
            <w:top w:w="0" w:type="dxa"/>
            <w:left w:w="0" w:type="dxa"/>
            <w:bottom w:w="0" w:type="dxa"/>
            <w:right w:w="0" w:type="dxa"/>
          </w:tblCellMar>
        </w:tblPrEx>
        <w:trPr>
          <w:trHeight w:val="575"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减材料</w:t>
            </w:r>
          </w:p>
        </w:tc>
        <w:tc>
          <w:tcPr>
            <w:tcW w:w="7597" w:type="dxa"/>
            <w:gridSpan w:val="16"/>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left"/>
              <w:rPr>
                <w:rFonts w:ascii="宋体" w:hAnsi="宋体" w:eastAsia="宋体"/>
                <w:b w:val="0"/>
                <w:w w:val="100"/>
                <w:sz w:val="18"/>
              </w:rPr>
            </w:pPr>
            <w:r>
              <w:rPr>
                <w:rFonts w:hint="eastAsia" w:ascii="宋体" w:hAnsi="宋体" w:eastAsia="宋体"/>
                <w:b w:val="0"/>
                <w:w w:val="100"/>
                <w:sz w:val="18"/>
                <w:lang w:eastAsia="zh-CN"/>
              </w:rPr>
              <w:t>通过“多表合一，一表申报”，并结合数据共享和电子证照应用，大幅精简需要提交的证明材料，相同的不重复提交，一般情况下申请人需要提交的证明材料从 14</w:t>
            </w:r>
            <w:r>
              <w:rPr>
                <w:rFonts w:ascii="宋体" w:hAnsi="宋体" w:eastAsia="宋体"/>
                <w:b w:val="0"/>
                <w:w w:val="100"/>
                <w:sz w:val="18"/>
              </w:rPr>
              <w:t>份减至</w:t>
            </w:r>
            <w:r>
              <w:rPr>
                <w:rFonts w:hint="eastAsia" w:ascii="宋体" w:hAnsi="宋体" w:eastAsia="宋体"/>
                <w:b w:val="0"/>
                <w:w w:val="100"/>
                <w:sz w:val="18"/>
                <w:lang w:eastAsia="zh-CN"/>
              </w:rPr>
              <w:t>4</w:t>
            </w:r>
            <w:r>
              <w:rPr>
                <w:rFonts w:ascii="宋体" w:hAnsi="宋体" w:eastAsia="宋体"/>
                <w:b w:val="0"/>
                <w:w w:val="100"/>
                <w:sz w:val="18"/>
              </w:rPr>
              <w:t>份。</w:t>
            </w:r>
          </w:p>
        </w:tc>
      </w:tr>
      <w:tr>
        <w:tblPrEx>
          <w:tblLayout w:type="fixed"/>
          <w:tblCellMar>
            <w:top w:w="0" w:type="dxa"/>
            <w:left w:w="0" w:type="dxa"/>
            <w:bottom w:w="0" w:type="dxa"/>
            <w:right w:w="0" w:type="dxa"/>
          </w:tblCellMar>
        </w:tblPrEx>
        <w:trPr>
          <w:trHeight w:val="554" w:hRule="atLeast"/>
          <w:jc w:val="center"/>
        </w:trPr>
        <w:tc>
          <w:tcPr>
            <w:tcW w:w="1773" w:type="dxa"/>
            <w:gridSpan w:val="4"/>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18"/>
                <w:lang w:eastAsia="zh-CN"/>
              </w:rPr>
            </w:pPr>
            <w:r>
              <w:rPr>
                <w:rFonts w:hint="eastAsia" w:ascii="宋体" w:hAnsi="宋体" w:eastAsia="宋体"/>
                <w:b w:val="0"/>
                <w:w w:val="100"/>
                <w:sz w:val="18"/>
                <w:lang w:eastAsia="zh-CN"/>
              </w:rPr>
              <w:t>减环节</w:t>
            </w:r>
          </w:p>
        </w:tc>
        <w:tc>
          <w:tcPr>
            <w:tcW w:w="7597" w:type="dxa"/>
            <w:gridSpan w:val="16"/>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left"/>
              <w:rPr>
                <w:rFonts w:ascii="宋体" w:hAnsi="宋体" w:eastAsia="宋体"/>
                <w:b w:val="0"/>
                <w:w w:val="100"/>
                <w:sz w:val="18"/>
              </w:rPr>
            </w:pPr>
            <w:r>
              <w:rPr>
                <w:rFonts w:hint="eastAsia" w:ascii="宋体" w:hAnsi="宋体" w:eastAsia="宋体"/>
                <w:b w:val="0"/>
                <w:w w:val="100"/>
                <w:sz w:val="18"/>
                <w:lang w:eastAsia="zh-CN"/>
              </w:rPr>
              <w:t>通过整合办事事项，重塑办事流程，申请人办事环节由目前的4</w:t>
            </w:r>
            <w:r>
              <w:rPr>
                <w:rFonts w:ascii="宋体" w:hAnsi="宋体" w:eastAsia="宋体"/>
                <w:b w:val="0"/>
                <w:w w:val="100"/>
                <w:sz w:val="18"/>
              </w:rPr>
              <w:t>个业务环节减少至1个环节。</w:t>
            </w:r>
          </w:p>
        </w:tc>
      </w:tr>
      <w:tr>
        <w:tblPrEx>
          <w:tblLayout w:type="fixed"/>
          <w:tblCellMar>
            <w:top w:w="0" w:type="dxa"/>
            <w:left w:w="0" w:type="dxa"/>
            <w:bottom w:w="0" w:type="dxa"/>
            <w:right w:w="0" w:type="dxa"/>
          </w:tblCellMar>
        </w:tblPrEx>
        <w:trPr>
          <w:trHeight w:val="240" w:hRule="atLeast"/>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top"/>
          </w:tcPr>
          <w:p>
            <w:pPr>
              <w:autoSpaceDE/>
              <w:autoSpaceDN/>
              <w:snapToGrid/>
              <w:spacing w:before="0" w:after="0" w:line="240" w:lineRule="auto"/>
              <w:ind w:left="0" w:firstLine="0"/>
              <w:jc w:val="center"/>
              <w:rPr>
                <w:rFonts w:ascii="宋体" w:hAnsi="宋体" w:eastAsia="宋体"/>
                <w:b w:val="0"/>
                <w:w w:val="100"/>
                <w:sz w:val="18"/>
              </w:rPr>
            </w:pPr>
            <w:r>
              <w:rPr>
                <w:rFonts w:hint="eastAsia" w:ascii="宋体" w:hAnsi="宋体" w:eastAsia="宋体"/>
                <w:b w:val="0"/>
                <w:w w:val="100"/>
                <w:sz w:val="18"/>
                <w:lang w:eastAsia="zh-CN"/>
              </w:rPr>
              <w:t>常见问题</w:t>
            </w:r>
          </w:p>
        </w:tc>
      </w:tr>
      <w:tr>
        <w:tblPrEx>
          <w:tblLayout w:type="fixed"/>
          <w:tblCellMar>
            <w:top w:w="0" w:type="dxa"/>
            <w:left w:w="0" w:type="dxa"/>
            <w:bottom w:w="0" w:type="dxa"/>
            <w:right w:w="0" w:type="dxa"/>
          </w:tblCellMar>
        </w:tblPrEx>
        <w:trPr>
          <w:trHeight w:val="378" w:hRule="atLeast"/>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left"/>
              <w:rPr>
                <w:rFonts w:hint="eastAsia" w:ascii="宋体" w:hAnsi="宋体" w:eastAsia="宋体"/>
                <w:b w:val="0"/>
                <w:w w:val="100"/>
                <w:sz w:val="18"/>
                <w:lang w:eastAsia="zh-CN"/>
              </w:rPr>
            </w:pPr>
            <w:r>
              <w:rPr>
                <w:rFonts w:hint="eastAsia" w:ascii="宋体" w:hAnsi="宋体" w:eastAsia="宋体"/>
                <w:b w:val="0"/>
                <w:w w:val="100"/>
                <w:sz w:val="18"/>
                <w:lang w:eastAsia="zh-CN"/>
              </w:rPr>
              <w:t>问：职工曾参加过城乡居民养老保险，页面显示的全部缴费年限未包含在内，这会影响养老待遇的计算吗?</w:t>
            </w:r>
          </w:p>
          <w:p>
            <w:pPr>
              <w:autoSpaceDE/>
              <w:autoSpaceDN/>
              <w:snapToGrid/>
              <w:spacing w:before="0" w:after="0" w:line="240" w:lineRule="auto"/>
              <w:ind w:left="0" w:firstLine="0"/>
              <w:jc w:val="left"/>
              <w:rPr>
                <w:rFonts w:ascii="宋体" w:hAnsi="宋体" w:eastAsia="宋体"/>
                <w:b w:val="0"/>
                <w:w w:val="100"/>
                <w:sz w:val="18"/>
              </w:rPr>
            </w:pPr>
            <w:r>
              <w:rPr>
                <w:rFonts w:hint="eastAsia" w:ascii="宋体" w:hAnsi="宋体" w:eastAsia="宋体"/>
                <w:b w:val="0"/>
                <w:w w:val="100"/>
                <w:sz w:val="18"/>
                <w:lang w:eastAsia="zh-CN"/>
              </w:rPr>
              <w:t>答：这个问题不用担心哦，对于曾缴纳过城乡居民养老保险的职工，在正式核定基本养老金时，可进行养老保险关系转移接续，个人账户金额合并计算。</w:t>
            </w:r>
          </w:p>
        </w:tc>
      </w:tr>
      <w:tr>
        <w:tblPrEx>
          <w:tblLayout w:type="fixed"/>
          <w:tblCellMar>
            <w:top w:w="0" w:type="dxa"/>
            <w:left w:w="0" w:type="dxa"/>
            <w:bottom w:w="0" w:type="dxa"/>
            <w:right w:w="0" w:type="dxa"/>
          </w:tblCellMar>
        </w:tblPrEx>
        <w:trPr>
          <w:trHeight w:val="282" w:hRule="atLeast"/>
          <w:jc w:val="center"/>
        </w:trPr>
        <w:tc>
          <w:tcPr>
            <w:tcW w:w="9370" w:type="dxa"/>
            <w:gridSpan w:val="20"/>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autoSpaceDE/>
              <w:autoSpaceDN/>
              <w:snapToGrid/>
              <w:spacing w:before="0" w:after="0" w:line="240" w:lineRule="auto"/>
              <w:ind w:left="0" w:firstLine="0"/>
              <w:jc w:val="left"/>
              <w:rPr>
                <w:rFonts w:hint="eastAsia" w:ascii="宋体" w:hAnsi="宋体" w:eastAsia="宋体"/>
                <w:b w:val="0"/>
                <w:w w:val="100"/>
                <w:sz w:val="18"/>
                <w:lang w:eastAsia="zh-CN"/>
              </w:rPr>
            </w:pPr>
            <w:r>
              <w:rPr>
                <w:rFonts w:hint="eastAsia" w:ascii="宋体" w:hAnsi="宋体" w:eastAsia="宋体"/>
                <w:b w:val="0"/>
                <w:w w:val="100"/>
                <w:sz w:val="18"/>
                <w:lang w:eastAsia="zh-CN"/>
              </w:rPr>
              <w:t>问：我已经申报好啦，之后怎么查询办理进度啊?</w:t>
            </w:r>
          </w:p>
          <w:p>
            <w:pPr>
              <w:autoSpaceDE/>
              <w:autoSpaceDN/>
              <w:snapToGrid/>
              <w:spacing w:before="0" w:after="0" w:line="240" w:lineRule="auto"/>
              <w:ind w:left="0" w:firstLine="0"/>
              <w:jc w:val="left"/>
              <w:rPr>
                <w:rFonts w:ascii="宋体" w:hAnsi="宋体" w:eastAsia="宋体"/>
                <w:b w:val="0"/>
                <w:w w:val="100"/>
                <w:sz w:val="18"/>
              </w:rPr>
            </w:pPr>
            <w:r>
              <w:rPr>
                <w:rFonts w:hint="eastAsia" w:ascii="宋体" w:hAnsi="宋体" w:eastAsia="宋体"/>
                <w:b w:val="0"/>
                <w:w w:val="100"/>
                <w:sz w:val="18"/>
                <w:lang w:eastAsia="zh-CN"/>
              </w:rPr>
              <w:t>答：登录“一件事办理”平台，点击首页右上角的[单位名称(或个人姓名) ]进入“我的办件”→“办件进度”，页面将显示所有已申报的业务事项，通过“状态”栏可查看退休“一件事”整体业务的办理进度哦。</w:t>
            </w:r>
          </w:p>
        </w:tc>
      </w:tr>
    </w:tbl>
    <w:p>
      <w:pPr>
        <w:jc w:val="both"/>
      </w:pPr>
    </w:p>
    <w:sectPr>
      <w:headerReference r:id="rId3" w:type="default"/>
      <w:footerReference r:id="rId5" w:type="default"/>
      <w:headerReference r:id="rId4" w:type="even"/>
      <w:footerReference r:id="rId6" w:type="even"/>
      <w:pgSz w:w="11906" w:h="16838"/>
      <w:pgMar w:top="2098" w:right="1474" w:bottom="1985" w:left="1588" w:header="851" w:footer="1758" w:gutter="0"/>
      <w:pgBorders>
        <w:top w:val="none" w:sz="0" w:space="0"/>
        <w:left w:val="none" w:sz="0" w:space="0"/>
        <w:bottom w:val="none" w:sz="0" w:space="0"/>
        <w:right w:val="none" w:sz="0" w:space="0"/>
      </w:pgBorders>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Segoe UI">
    <w:panose1 w:val="020B0502040204020203"/>
    <w:charset w:val="00"/>
    <w:family w:val="swiss"/>
    <w:pitch w:val="default"/>
    <w:sig w:usb0="E4002EFF" w:usb1="C000E47F" w:usb2="00000009" w:usb3="00000000" w:csb0="200001FF" w:csb1="00000000"/>
  </w:font>
  <w:font w:name="sans-serif">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rPr>
                              <w:rStyle w:val="30"/>
                              <w:rFonts w:hint="eastAsia" w:ascii="宋体" w:hAnsi="宋体" w:eastAsia="宋体" w:cs="宋体"/>
                              <w:sz w:val="28"/>
                              <w:szCs w:val="28"/>
                            </w:rPr>
                          </w:pPr>
                          <w:r>
                            <w:rPr>
                              <w:rStyle w:val="30"/>
                              <w:rFonts w:hint="eastAsia" w:ascii="宋体" w:hAnsi="宋体" w:eastAsia="宋体" w:cs="宋体"/>
                              <w:sz w:val="28"/>
                              <w:szCs w:val="28"/>
                            </w:rPr>
                            <w:t>－</w:t>
                          </w:r>
                          <w:r>
                            <w:rPr>
                              <w:rFonts w:hint="eastAsia" w:ascii="宋体" w:hAnsi="宋体" w:eastAsia="宋体" w:cs="宋体"/>
                              <w:sz w:val="28"/>
                              <w:szCs w:val="28"/>
                            </w:rPr>
                            <w:fldChar w:fldCharType="begin"/>
                          </w:r>
                          <w:r>
                            <w:rPr>
                              <w:rStyle w:val="3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30"/>
                              <w:rFonts w:hint="eastAsia" w:ascii="宋体" w:hAnsi="宋体" w:eastAsia="宋体" w:cs="宋体"/>
                              <w:sz w:val="28"/>
                              <w:szCs w:val="28"/>
                            </w:rPr>
                            <w:t>１</w:t>
                          </w:r>
                          <w:r>
                            <w:rPr>
                              <w:rFonts w:hint="eastAsia" w:ascii="宋体" w:hAnsi="宋体" w:eastAsia="宋体" w:cs="宋体"/>
                              <w:sz w:val="28"/>
                              <w:szCs w:val="28"/>
                            </w:rPr>
                            <w:fldChar w:fldCharType="end"/>
                          </w:r>
                          <w:r>
                            <w:rPr>
                              <w:rStyle w:val="30"/>
                              <w:rFonts w:hint="eastAsia" w:ascii="宋体" w:hAnsi="宋体" w:eastAsia="宋体" w:cs="宋体"/>
                              <w:sz w:val="28"/>
                              <w:szCs w:val="28"/>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CTUX7IB&#10;AABZAwAADgAAAAAAAAABACAAAAAeAQAAZHJzL2Uyb0RvYy54bWxQSwUGAAAAAAYABgBZAQAAQgUA&#10;AAAA&#10;">
              <v:fill on="f" focussize="0,0"/>
              <v:stroke on="f"/>
              <v:imagedata o:title=""/>
              <o:lock v:ext="edit" aspectratio="f"/>
              <v:textbox inset="0mm,0mm,0mm,0mm" style="mso-fit-shape-to-text:t;">
                <w:txbxContent>
                  <w:p>
                    <w:pPr>
                      <w:pStyle w:val="17"/>
                      <w:rPr>
                        <w:rStyle w:val="30"/>
                        <w:rFonts w:hint="eastAsia" w:ascii="宋体" w:hAnsi="宋体" w:eastAsia="宋体" w:cs="宋体"/>
                        <w:sz w:val="28"/>
                        <w:szCs w:val="28"/>
                      </w:rPr>
                    </w:pPr>
                    <w:r>
                      <w:rPr>
                        <w:rStyle w:val="30"/>
                        <w:rFonts w:hint="eastAsia" w:ascii="宋体" w:hAnsi="宋体" w:eastAsia="宋体" w:cs="宋体"/>
                        <w:sz w:val="28"/>
                        <w:szCs w:val="28"/>
                      </w:rPr>
                      <w:t>－</w:t>
                    </w:r>
                    <w:r>
                      <w:rPr>
                        <w:rFonts w:hint="eastAsia" w:ascii="宋体" w:hAnsi="宋体" w:eastAsia="宋体" w:cs="宋体"/>
                        <w:sz w:val="28"/>
                        <w:szCs w:val="28"/>
                      </w:rPr>
                      <w:fldChar w:fldCharType="begin"/>
                    </w:r>
                    <w:r>
                      <w:rPr>
                        <w:rStyle w:val="3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30"/>
                        <w:rFonts w:hint="eastAsia" w:ascii="宋体" w:hAnsi="宋体" w:eastAsia="宋体" w:cs="宋体"/>
                        <w:sz w:val="28"/>
                        <w:szCs w:val="28"/>
                      </w:rPr>
                      <w:t>１</w:t>
                    </w:r>
                    <w:r>
                      <w:rPr>
                        <w:rFonts w:hint="eastAsia" w:ascii="宋体" w:hAnsi="宋体" w:eastAsia="宋体" w:cs="宋体"/>
                        <w:sz w:val="28"/>
                        <w:szCs w:val="28"/>
                      </w:rPr>
                      <w:fldChar w:fldCharType="end"/>
                    </w:r>
                    <w:r>
                      <w:rPr>
                        <w:rStyle w:val="30"/>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U40v7IB&#10;AABaAwAADgAAAAAAAAABACAAAAAeAQAAZHJzL2Uyb0RvYy54bWxQSwUGAAAAAAYABgBZAQAAQgUA&#10;AAAA&#10;">
              <v:fill on="f" focussize="0,0"/>
              <v:stroke on="f"/>
              <v:imagedata o:title=""/>
              <o:lock v:ext="edit" aspectratio="f"/>
              <v:textbox inset="0mm,0mm,0mm,0mm" style="mso-fit-shape-to-text:t;">
                <w:txbxContent>
                  <w:p>
                    <w:pPr>
                      <w:pStyle w:val="1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6"/>
    <w:multiLevelType w:val="singleLevel"/>
    <w:tmpl w:val="5C946296"/>
    <w:lvl w:ilvl="0" w:tentative="0">
      <w:start w:val="16"/>
      <w:numFmt w:val="chineseCounting"/>
      <w:suff w:val="nothing"/>
      <w:lvlText w:val="第%1条　"/>
      <w:lvlJc w:val="left"/>
      <w:pPr>
        <w:ind w:left="0" w:firstLine="0"/>
      </w:pPr>
      <w:rPr>
        <w:rFonts w:hint="default" w:ascii="宋体" w:hAnsi="宋体"/>
        <w:w w:val="1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dit="readOnly"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42"/>
    <w:rsid w:val="000C5C31"/>
    <w:rsid w:val="001A55A7"/>
    <w:rsid w:val="002E45A1"/>
    <w:rsid w:val="0032028F"/>
    <w:rsid w:val="003B461C"/>
    <w:rsid w:val="00447CE6"/>
    <w:rsid w:val="004C20F5"/>
    <w:rsid w:val="00544375"/>
    <w:rsid w:val="00586CB0"/>
    <w:rsid w:val="006D3E6E"/>
    <w:rsid w:val="00717142"/>
    <w:rsid w:val="008E1B63"/>
    <w:rsid w:val="00B75AAD"/>
    <w:rsid w:val="00D0479F"/>
    <w:rsid w:val="00D9709E"/>
    <w:rsid w:val="00E20C61"/>
    <w:rsid w:val="00E37FAE"/>
    <w:rsid w:val="00EE45E3"/>
    <w:rsid w:val="00F2380F"/>
    <w:rsid w:val="00FB62F2"/>
    <w:rsid w:val="10650C1E"/>
    <w:rsid w:val="13747E59"/>
    <w:rsid w:val="2DDD6FEE"/>
    <w:rsid w:val="2DDECEBD"/>
    <w:rsid w:val="376E2CF3"/>
    <w:rsid w:val="377DE76C"/>
    <w:rsid w:val="37FE6974"/>
    <w:rsid w:val="3DF526CC"/>
    <w:rsid w:val="3E047E0F"/>
    <w:rsid w:val="4D3E2F43"/>
    <w:rsid w:val="4DDF31F8"/>
    <w:rsid w:val="51FED7AB"/>
    <w:rsid w:val="5EFA7CCD"/>
    <w:rsid w:val="5FFB393A"/>
    <w:rsid w:val="627FA436"/>
    <w:rsid w:val="66BF26B9"/>
    <w:rsid w:val="67DB94B9"/>
    <w:rsid w:val="7CEFFF08"/>
    <w:rsid w:val="7D7A0F32"/>
    <w:rsid w:val="7F7D58EC"/>
    <w:rsid w:val="7FBF7943"/>
    <w:rsid w:val="9D4B5CFF"/>
    <w:rsid w:val="AFF00219"/>
    <w:rsid w:val="BA7B23C6"/>
    <w:rsid w:val="BFF77DFD"/>
    <w:rsid w:val="CDDF1F6E"/>
    <w:rsid w:val="CFFE5896"/>
    <w:rsid w:val="DE77D2EE"/>
    <w:rsid w:val="DFFF4C1D"/>
    <w:rsid w:val="EB7FA12D"/>
    <w:rsid w:val="F3F9278C"/>
    <w:rsid w:val="F51DBCCB"/>
    <w:rsid w:val="FB7E39C8"/>
    <w:rsid w:val="FDEFCD4E"/>
    <w:rsid w:val="FE734873"/>
    <w:rsid w:val="FE7F0DE0"/>
    <w:rsid w:val="FFEB18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
    <w:lsdException w:qFormat="1" w:unhideWhenUsed="0" w:uiPriority="0" w:semiHidden="0" w:name=""/>
    <w:lsdException w:qFormat="1" w:unhideWhenUsed="0" w:uiPriority="0"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next w:val="1"/>
    <w:qFormat/>
    <w:uiPriority w:val="0"/>
    <w:pPr>
      <w:widowControl/>
      <w:wordWrap w:val="0"/>
      <w:autoSpaceDE/>
      <w:autoSpaceDN/>
      <w:spacing w:before="0" w:after="160" w:line="240" w:lineRule="auto"/>
      <w:ind w:left="0" w:firstLine="0"/>
      <w:jc w:val="both"/>
      <w:outlineLvl w:val="0"/>
    </w:pPr>
    <w:rPr>
      <w:rFonts w:ascii="宋体" w:hAnsi="宋体" w:eastAsia="Times New Roman" w:cs="Times New Roman"/>
      <w:sz w:val="28"/>
    </w:rPr>
  </w:style>
  <w:style w:type="paragraph" w:styleId="3">
    <w:name w:val="heading 2"/>
    <w:basedOn w:val="1"/>
    <w:next w:val="1"/>
    <w:qFormat/>
    <w:uiPriority w:val="0"/>
    <w:pPr>
      <w:widowControl w:val="0"/>
      <w:autoSpaceDE/>
      <w:autoSpaceDN/>
      <w:spacing w:before="280" w:after="280" w:line="240" w:lineRule="auto"/>
      <w:ind w:left="0" w:firstLine="0"/>
      <w:jc w:val="both"/>
      <w:outlineLvl w:val="1"/>
    </w:pPr>
    <w:rPr>
      <w:rFonts w:ascii="宋体" w:hAnsi="宋体" w:eastAsia="宋体" w:cs="Times New Roman"/>
      <w:b/>
      <w:kern w:val="0"/>
      <w:sz w:val="36"/>
      <w:szCs w:val="20"/>
    </w:rPr>
  </w:style>
  <w:style w:type="paragraph" w:styleId="4">
    <w:name w:val="heading 3"/>
    <w:next w:val="1"/>
    <w:qFormat/>
    <w:uiPriority w:val="0"/>
    <w:pPr>
      <w:widowControl/>
      <w:wordWrap w:val="0"/>
      <w:autoSpaceDE/>
      <w:autoSpaceDN/>
      <w:spacing w:before="0" w:after="160" w:line="240" w:lineRule="auto"/>
      <w:ind w:left="1400" w:hanging="400"/>
      <w:jc w:val="both"/>
      <w:outlineLvl w:val="2"/>
    </w:pPr>
    <w:rPr>
      <w:rFonts w:ascii="宋体" w:hAnsi="宋体" w:eastAsia="Times New Roman" w:cs="Times New Roman"/>
      <w:sz w:val="21"/>
    </w:rPr>
  </w:style>
  <w:style w:type="paragraph" w:styleId="5">
    <w:name w:val="heading 4"/>
    <w:next w:val="1"/>
    <w:qFormat/>
    <w:uiPriority w:val="0"/>
    <w:pPr>
      <w:widowControl/>
      <w:wordWrap w:val="0"/>
      <w:autoSpaceDE/>
      <w:autoSpaceDN/>
      <w:spacing w:before="0" w:after="160" w:line="240" w:lineRule="auto"/>
      <w:ind w:left="1600" w:hanging="400"/>
      <w:jc w:val="both"/>
      <w:outlineLvl w:val="3"/>
    </w:pPr>
    <w:rPr>
      <w:rFonts w:ascii="宋体" w:hAnsi="宋体" w:eastAsia="Times New Roman" w:cs="Times New Roman"/>
      <w:b/>
      <w:sz w:val="21"/>
    </w:rPr>
  </w:style>
  <w:style w:type="paragraph" w:styleId="6">
    <w:name w:val="heading 5"/>
    <w:next w:val="1"/>
    <w:qFormat/>
    <w:uiPriority w:val="0"/>
    <w:pPr>
      <w:widowControl/>
      <w:wordWrap w:val="0"/>
      <w:autoSpaceDE/>
      <w:autoSpaceDN/>
      <w:spacing w:before="0" w:after="160" w:line="240" w:lineRule="auto"/>
      <w:ind w:left="1800" w:hanging="400"/>
      <w:jc w:val="both"/>
      <w:outlineLvl w:val="4"/>
    </w:pPr>
    <w:rPr>
      <w:rFonts w:ascii="宋体" w:hAnsi="宋体" w:eastAsia="Times New Roman" w:cs="Times New Roman"/>
      <w:sz w:val="21"/>
    </w:rPr>
  </w:style>
  <w:style w:type="paragraph" w:styleId="7">
    <w:name w:val="heading 6"/>
    <w:next w:val="1"/>
    <w:qFormat/>
    <w:uiPriority w:val="0"/>
    <w:pPr>
      <w:widowControl/>
      <w:wordWrap w:val="0"/>
      <w:autoSpaceDE/>
      <w:autoSpaceDN/>
      <w:spacing w:before="0" w:after="160" w:line="240" w:lineRule="auto"/>
      <w:ind w:left="2000" w:hanging="400"/>
      <w:jc w:val="both"/>
      <w:outlineLvl w:val="5"/>
    </w:pPr>
    <w:rPr>
      <w:rFonts w:ascii="宋体" w:hAnsi="宋体" w:eastAsia="Times New Roman" w:cs="Times New Roman"/>
      <w:b/>
      <w:sz w:val="21"/>
    </w:rPr>
  </w:style>
  <w:style w:type="paragraph" w:styleId="8">
    <w:name w:val="heading 7"/>
    <w:next w:val="1"/>
    <w:qFormat/>
    <w:uiPriority w:val="0"/>
    <w:pPr>
      <w:widowControl/>
      <w:wordWrap w:val="0"/>
      <w:autoSpaceDE/>
      <w:autoSpaceDN/>
      <w:spacing w:before="0" w:after="160" w:line="240" w:lineRule="auto"/>
      <w:ind w:left="2200" w:hanging="400"/>
      <w:jc w:val="both"/>
      <w:outlineLvl w:val="6"/>
    </w:pPr>
    <w:rPr>
      <w:rFonts w:ascii="宋体" w:hAnsi="宋体" w:eastAsia="Times New Roman" w:cs="Times New Roman"/>
      <w:sz w:val="21"/>
    </w:rPr>
  </w:style>
  <w:style w:type="paragraph" w:styleId="9">
    <w:name w:val="heading 8"/>
    <w:next w:val="1"/>
    <w:qFormat/>
    <w:uiPriority w:val="0"/>
    <w:pPr>
      <w:widowControl/>
      <w:wordWrap w:val="0"/>
      <w:autoSpaceDE/>
      <w:autoSpaceDN/>
      <w:spacing w:before="0" w:after="160" w:line="240" w:lineRule="auto"/>
      <w:ind w:left="2400" w:hanging="400"/>
      <w:jc w:val="both"/>
      <w:outlineLvl w:val="7"/>
    </w:pPr>
    <w:rPr>
      <w:rFonts w:ascii="宋体" w:hAnsi="宋体" w:eastAsia="Times New Roman" w:cs="Times New Roman"/>
      <w:sz w:val="21"/>
    </w:rPr>
  </w:style>
  <w:style w:type="paragraph" w:styleId="10">
    <w:name w:val="heading 9"/>
    <w:next w:val="1"/>
    <w:qFormat/>
    <w:uiPriority w:val="0"/>
    <w:pPr>
      <w:widowControl/>
      <w:wordWrap w:val="0"/>
      <w:autoSpaceDE/>
      <w:autoSpaceDN/>
      <w:spacing w:before="0" w:after="160" w:line="240" w:lineRule="auto"/>
      <w:ind w:left="2600" w:hanging="400"/>
      <w:jc w:val="both"/>
      <w:outlineLvl w:val="8"/>
    </w:pPr>
    <w:rPr>
      <w:rFonts w:ascii="宋体" w:hAnsi="宋体" w:eastAsia="Times New Roman" w:cs="Times New Roman"/>
      <w:sz w:val="21"/>
    </w:rPr>
  </w:style>
  <w:style w:type="character" w:default="1" w:styleId="28">
    <w:name w:val="Default Paragraph Font"/>
    <w:semiHidden/>
    <w:qFormat/>
    <w:uiPriority w:val="0"/>
  </w:style>
  <w:style w:type="table" w:default="1" w:styleId="32">
    <w:name w:val="Normal Table"/>
    <w:semiHidden/>
    <w:qFormat/>
    <w:uiPriority w:val="0"/>
    <w:tblPr>
      <w:tblStyle w:val="32"/>
      <w:tblLayout w:type="fixed"/>
      <w:tblCellMar>
        <w:top w:w="0" w:type="dxa"/>
        <w:left w:w="108" w:type="dxa"/>
        <w:bottom w:w="0" w:type="dxa"/>
        <w:right w:w="108" w:type="dxa"/>
      </w:tblCellMar>
    </w:tblPr>
  </w:style>
  <w:style w:type="paragraph" w:styleId="11">
    <w:name w:val="toc 7"/>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styleId="12">
    <w:name w:val="Normal Indent"/>
    <w:next w:val="1"/>
    <w:qFormat/>
    <w:uiPriority w:val="0"/>
    <w:pPr>
      <w:widowControl w:val="0"/>
      <w:autoSpaceDE/>
      <w:autoSpaceDN/>
      <w:spacing w:before="0" w:after="0" w:line="240" w:lineRule="auto"/>
      <w:ind w:left="0" w:firstLine="420"/>
      <w:jc w:val="both"/>
    </w:pPr>
    <w:rPr>
      <w:rFonts w:ascii="Times New Roman" w:hAnsi="宋体" w:eastAsia="宋体" w:cs="Times New Roman"/>
      <w:sz w:val="21"/>
    </w:rPr>
  </w:style>
  <w:style w:type="paragraph" w:styleId="13">
    <w:name w:val="annotation text"/>
    <w:basedOn w:val="1"/>
    <w:next w:val="1"/>
    <w:qFormat/>
    <w:uiPriority w:val="0"/>
    <w:pPr>
      <w:widowControl w:val="0"/>
      <w:autoSpaceDE/>
      <w:autoSpaceDN/>
      <w:spacing w:before="0" w:after="0" w:line="240" w:lineRule="auto"/>
      <w:ind w:left="0" w:firstLine="0"/>
      <w:jc w:val="both"/>
    </w:pPr>
    <w:rPr>
      <w:rFonts w:ascii="Calibri" w:hAnsi="宋体" w:eastAsia="宋体" w:cs="Times New Roman"/>
      <w:kern w:val="0"/>
      <w:sz w:val="21"/>
      <w:szCs w:val="20"/>
    </w:rPr>
  </w:style>
  <w:style w:type="paragraph" w:styleId="14">
    <w:name w:val="toc 5"/>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styleId="15">
    <w:name w:val="toc 3"/>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styleId="16">
    <w:name w:val="toc 8"/>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styleId="17">
    <w:name w:val="footer"/>
    <w:basedOn w:val="1"/>
    <w:next w:val="18"/>
    <w:qFormat/>
    <w:uiPriority w:val="0"/>
    <w:pPr>
      <w:tabs>
        <w:tab w:val="center" w:pos="4153"/>
        <w:tab w:val="right" w:pos="8306"/>
      </w:tabs>
      <w:snapToGrid w:val="0"/>
      <w:jc w:val="left"/>
    </w:pPr>
    <w:rPr>
      <w:sz w:val="18"/>
      <w:szCs w:val="18"/>
    </w:rPr>
  </w:style>
  <w:style w:type="paragraph" w:styleId="18">
    <w:name w:val=""/>
    <w:next w:val="1"/>
    <w:qFormat/>
    <w:uiPriority w:val="0"/>
    <w:pPr>
      <w:widowControl/>
      <w:wordWrap w:val="0"/>
      <w:autoSpaceDE/>
      <w:autoSpaceDN/>
      <w:spacing w:before="360" w:after="360" w:line="240" w:lineRule="auto"/>
      <w:ind w:left="950" w:right="950" w:firstLine="0"/>
      <w:jc w:val="center"/>
    </w:pPr>
    <w:rPr>
      <w:rFonts w:ascii="宋体" w:hAnsi="宋体" w:eastAsia="Times New Roman" w:cs="Times New Roman"/>
      <w:i/>
      <w:sz w:val="21"/>
    </w:rPr>
  </w:style>
  <w:style w:type="paragraph" w:styleId="1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4"/>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styleId="21">
    <w:name w:val="Subtitle"/>
    <w:next w:val="1"/>
    <w:qFormat/>
    <w:uiPriority w:val="0"/>
    <w:pPr>
      <w:widowControl/>
      <w:wordWrap w:val="0"/>
      <w:autoSpaceDE/>
      <w:autoSpaceDN/>
      <w:spacing w:before="0" w:after="60" w:line="240" w:lineRule="auto"/>
      <w:ind w:left="0" w:firstLine="0"/>
      <w:jc w:val="center"/>
    </w:pPr>
    <w:rPr>
      <w:rFonts w:ascii="宋体" w:hAnsi="宋体" w:eastAsia="Times New Roman" w:cs="Times New Roman"/>
      <w:sz w:val="24"/>
    </w:rPr>
  </w:style>
  <w:style w:type="paragraph" w:styleId="22">
    <w:name w:val="toc 6"/>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styleId="23">
    <w:name w:val="toc 2"/>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styleId="24">
    <w:name w:val="toc 9"/>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styleId="25">
    <w:name w:val="Body Text 2"/>
    <w:basedOn w:val="1"/>
    <w:next w:val="15"/>
    <w:qFormat/>
    <w:uiPriority w:val="0"/>
    <w:pPr>
      <w:widowControl w:val="0"/>
      <w:autoSpaceDE/>
      <w:autoSpaceDN/>
      <w:spacing w:before="0" w:after="120" w:line="480" w:lineRule="auto"/>
      <w:ind w:left="0" w:firstLine="0"/>
      <w:jc w:val="both"/>
    </w:pPr>
    <w:rPr>
      <w:rFonts w:ascii="Calibri" w:hAnsi="宋体" w:eastAsia="宋体" w:cs="Times New Roman"/>
      <w:kern w:val="0"/>
      <w:sz w:val="21"/>
      <w:szCs w:val="20"/>
    </w:rPr>
  </w:style>
  <w:style w:type="paragraph" w:styleId="26">
    <w:name w:val="HTML Preformatted"/>
    <w:basedOn w:val="1"/>
    <w:next w:val="14"/>
    <w:qFormat/>
    <w:uiPriority w:val="0"/>
    <w:pPr>
      <w:widowControl/>
      <w:autoSpaceDE/>
      <w:autoSpaceDN/>
      <w:spacing w:before="0" w:after="0" w:line="240" w:lineRule="auto"/>
      <w:ind w:left="0" w:firstLine="0"/>
      <w:jc w:val="both"/>
    </w:pPr>
    <w:rPr>
      <w:rFonts w:ascii="宋体" w:hAnsi="宋体" w:eastAsia="宋体" w:cs="Times New Roman"/>
      <w:kern w:val="0"/>
      <w:sz w:val="24"/>
      <w:szCs w:val="20"/>
    </w:rPr>
  </w:style>
  <w:style w:type="paragraph" w:styleId="27">
    <w:name w:val="Normal (Web)"/>
    <w:basedOn w:val="1"/>
    <w:next w:val="11"/>
    <w:qFormat/>
    <w:uiPriority w:val="0"/>
    <w:pPr>
      <w:widowControl w:val="0"/>
      <w:autoSpaceDE/>
      <w:autoSpaceDN/>
      <w:spacing w:before="0" w:after="0" w:line="240" w:lineRule="auto"/>
      <w:ind w:left="0" w:firstLine="0"/>
      <w:jc w:val="both"/>
    </w:pPr>
    <w:rPr>
      <w:rFonts w:ascii="Calibri" w:hAnsi="宋体" w:eastAsia="宋体" w:cs="Times New Roman"/>
      <w:kern w:val="0"/>
      <w:sz w:val="24"/>
      <w:szCs w:val="20"/>
    </w:rPr>
  </w:style>
  <w:style w:type="character" w:styleId="29">
    <w:name w:val="Strong"/>
    <w:qFormat/>
    <w:uiPriority w:val="0"/>
    <w:rPr>
      <w:rFonts w:ascii="宋体" w:hAnsi="宋体" w:eastAsia="Times New Roman" w:cs="Times New Roman"/>
      <w:b/>
      <w:sz w:val="20"/>
    </w:rPr>
  </w:style>
  <w:style w:type="character" w:styleId="30">
    <w:name w:val="page number"/>
    <w:basedOn w:val="28"/>
    <w:qFormat/>
    <w:uiPriority w:val="0"/>
  </w:style>
  <w:style w:type="character" w:styleId="31">
    <w:name w:val="Emphasis"/>
    <w:qFormat/>
    <w:uiPriority w:val="0"/>
    <w:rPr>
      <w:rFonts w:ascii="宋体" w:hAnsi="宋体" w:eastAsia="Times New Roman" w:cs="Times New Roman"/>
      <w:i/>
      <w:sz w:val="20"/>
    </w:rPr>
  </w:style>
  <w:style w:type="table" w:styleId="33">
    <w:name w:val="Table Grid"/>
    <w:basedOn w:val="32"/>
    <w:qFormat/>
    <w:uiPriority w:val="0"/>
    <w:pPr>
      <w:widowControl w:val="0"/>
      <w:jc w:val="both"/>
    </w:p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目录 74"/>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35">
    <w:name w:val="TOC Heading11"/>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36">
    <w:name w:val="正文缩进4"/>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customStyle="1" w:styleId="37">
    <w:name w:val="toc 11"/>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38">
    <w:name w:val="toc 81"/>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customStyle="1" w:styleId="39">
    <w:name w:val="目录 63"/>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40">
    <w:name w:val="toc 41"/>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41">
    <w:name w:val="toc 51"/>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42">
    <w:name w:val="toc 2"/>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43">
    <w:name w:val="目录 75"/>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44">
    <w:name w:val="章标题"/>
    <w:next w:val="45"/>
    <w:qFormat/>
    <w:uiPriority w:val="0"/>
    <w:pPr>
      <w:widowControl/>
      <w:autoSpaceDE/>
      <w:autoSpaceDN/>
      <w:spacing w:before="312" w:after="312" w:line="240" w:lineRule="auto"/>
      <w:ind w:left="0" w:firstLine="0"/>
      <w:jc w:val="both"/>
      <w:outlineLvl w:val="1"/>
    </w:pPr>
    <w:rPr>
      <w:rFonts w:ascii="黑体" w:hAnsi="宋体" w:eastAsia="黑体" w:cs="Times New Roman"/>
      <w:sz w:val="21"/>
    </w:rPr>
  </w:style>
  <w:style w:type="paragraph" w:customStyle="1" w:styleId="45">
    <w:name w:val="toc 5"/>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46">
    <w:name w:val="目录 95"/>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customStyle="1" w:styleId="47">
    <w:name w:val="目录 62"/>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48">
    <w:name w:val="_Style 39"/>
    <w:next w:val="1"/>
    <w:qFormat/>
    <w:uiPriority w:val="0"/>
    <w:pPr>
      <w:wordWrap w:val="0"/>
      <w:spacing w:before="0" w:line="240" w:lineRule="auto"/>
      <w:ind w:left="0"/>
    </w:pPr>
    <w:rPr>
      <w:rFonts w:ascii="宋体" w:hAnsi="宋体" w:eastAsia="Times New Roman" w:cs="Times New Roman"/>
      <w:color w:val="auto"/>
      <w:sz w:val="32"/>
    </w:rPr>
  </w:style>
  <w:style w:type="paragraph" w:customStyle="1" w:styleId="49">
    <w:name w:val="目录 61"/>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50">
    <w:name w:val="toc 4"/>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51">
    <w:name w:val="toc 61"/>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52">
    <w:name w:val="TOC Heading5"/>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53">
    <w:name w:val="正文缩进1"/>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customStyle="1" w:styleId="54">
    <w:name w:val="目录 23"/>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55">
    <w:name w:val="toc 71"/>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customStyle="1" w:styleId="56">
    <w:name w:val="TOC Heading3"/>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57">
    <w:name w:val="目录 85"/>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customStyle="1" w:styleId="58">
    <w:name w:val="QB正文"/>
    <w:next w:val="50"/>
    <w:qFormat/>
    <w:uiPriority w:val="0"/>
    <w:pPr>
      <w:widowControl/>
      <w:autoSpaceDE w:val="0"/>
      <w:autoSpaceDN w:val="0"/>
      <w:spacing w:before="0" w:after="0" w:line="240" w:lineRule="auto"/>
      <w:ind w:left="0" w:firstLine="420"/>
      <w:jc w:val="both"/>
    </w:pPr>
    <w:rPr>
      <w:rFonts w:ascii="宋体" w:hAnsi="宋体" w:eastAsia="宋体" w:cs="Times New Roman"/>
      <w:sz w:val="21"/>
    </w:rPr>
  </w:style>
  <w:style w:type="paragraph" w:customStyle="1" w:styleId="59">
    <w:name w:val="目录 55"/>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60">
    <w:name w:val="目录 34"/>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61">
    <w:name w:val="一级条标题"/>
    <w:next w:val="56"/>
    <w:qFormat/>
    <w:uiPriority w:val="0"/>
    <w:pPr>
      <w:widowControl/>
      <w:autoSpaceDE/>
      <w:autoSpaceDN/>
      <w:spacing w:before="156" w:after="156" w:line="240" w:lineRule="auto"/>
      <w:ind w:left="0" w:firstLine="0"/>
      <w:outlineLvl w:val="2"/>
    </w:pPr>
    <w:rPr>
      <w:rFonts w:ascii="黑体" w:hAnsi="宋体" w:eastAsia="黑体" w:cs="Times New Roman"/>
      <w:sz w:val="21"/>
    </w:rPr>
  </w:style>
  <w:style w:type="paragraph" w:customStyle="1" w:styleId="62">
    <w:name w:val="段"/>
    <w:next w:val="54"/>
    <w:qFormat/>
    <w:uiPriority w:val="0"/>
    <w:pPr>
      <w:widowControl/>
      <w:autoSpaceDE w:val="0"/>
      <w:autoSpaceDN w:val="0"/>
      <w:spacing w:before="0" w:after="0" w:line="240" w:lineRule="auto"/>
      <w:ind w:left="0" w:firstLine="420"/>
      <w:jc w:val="both"/>
    </w:pPr>
    <w:rPr>
      <w:rFonts w:ascii="宋体" w:hAnsi="宋体" w:eastAsia="宋体" w:cs="Times New Roman"/>
      <w:sz w:val="21"/>
    </w:rPr>
  </w:style>
  <w:style w:type="paragraph" w:customStyle="1" w:styleId="63">
    <w:name w:val="目录 94"/>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styleId="64">
    <w:name w:val=""/>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65">
    <w:name w:val="目录 93"/>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customStyle="1" w:styleId="66">
    <w:name w:val="目录 25"/>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67">
    <w:name w:val="目录 45"/>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68">
    <w:name w:val="目录 31"/>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69">
    <w:name w:val="TOC Heading1"/>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70">
    <w:name w:val="TOC Heading4"/>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71">
    <w:name w:val="toc 9"/>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customStyle="1" w:styleId="72">
    <w:name w:val="目录 72"/>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73">
    <w:name w:val="目录 44"/>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74">
    <w:name w:val="目录 64"/>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75">
    <w:name w:val="目录 84"/>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styleId="76">
    <w:name w:val=""/>
    <w:next w:val="1"/>
    <w:qFormat/>
    <w:uiPriority w:val="0"/>
    <w:pPr>
      <w:widowControl/>
      <w:wordWrap w:val="0"/>
      <w:autoSpaceDE/>
      <w:autoSpaceDN/>
      <w:spacing w:before="200" w:after="160" w:line="240" w:lineRule="auto"/>
      <w:ind w:left="864" w:right="864" w:firstLine="0"/>
      <w:jc w:val="center"/>
    </w:pPr>
    <w:rPr>
      <w:rFonts w:ascii="宋体" w:hAnsi="宋体" w:eastAsia="Times New Roman" w:cs="Times New Roman"/>
      <w:i/>
      <w:sz w:val="21"/>
    </w:rPr>
  </w:style>
  <w:style w:type="paragraph" w:customStyle="1" w:styleId="77">
    <w:name w:val="toc 8"/>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customStyle="1" w:styleId="78">
    <w:name w:val="目录 92"/>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customStyle="1" w:styleId="79">
    <w:name w:val="目录 22"/>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80">
    <w:name w:val="目录 35"/>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81">
    <w:name w:val="TOC Heading31"/>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82">
    <w:name w:val="正文缩进3"/>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customStyle="1" w:styleId="83">
    <w:name w:val="目录 21"/>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84">
    <w:name w:val="标准编号"/>
    <w:basedOn w:val="1"/>
    <w:next w:val="48"/>
    <w:qFormat/>
    <w:uiPriority w:val="0"/>
    <w:pPr>
      <w:widowControl w:val="0"/>
      <w:autoSpaceDE/>
      <w:autoSpaceDN/>
      <w:spacing w:before="0" w:after="0" w:line="240" w:lineRule="auto"/>
      <w:ind w:left="0" w:firstLine="0"/>
      <w:jc w:val="center"/>
    </w:pPr>
    <w:rPr>
      <w:rFonts w:ascii="黑体" w:hAnsi="宋体" w:eastAsia="黑体" w:cs="Times New Roman"/>
      <w:b/>
      <w:kern w:val="0"/>
      <w:sz w:val="30"/>
      <w:szCs w:val="20"/>
    </w:rPr>
  </w:style>
  <w:style w:type="paragraph" w:customStyle="1" w:styleId="85">
    <w:name w:val="toc 31"/>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86">
    <w:name w:val="toc 21"/>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87">
    <w:name w:val="目录 54"/>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88">
    <w:name w:val="目录 52"/>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89">
    <w:name w:val="TOC Heading21"/>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90">
    <w:name w:val="目录 82"/>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customStyle="1" w:styleId="91">
    <w:name w:val="目录 73"/>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92">
    <w:name w:val="toc 1"/>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93">
    <w:name w:val="目录 91"/>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customStyle="1" w:styleId="94">
    <w:name w:val="目录 33"/>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95">
    <w:name w:val="目录 71"/>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96">
    <w:name w:val="toc 3"/>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97">
    <w:name w:val="目录 81"/>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customStyle="1" w:styleId="98">
    <w:name w:val="目录 41"/>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99">
    <w:name w:val="toc 91"/>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customStyle="1" w:styleId="100">
    <w:name w:val="正文缩进5"/>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customStyle="1" w:styleId="101">
    <w:name w:val="目录 32"/>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102">
    <w:name w:val="目录 51"/>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103">
    <w:name w:val="目录 24"/>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104">
    <w:name w:val="目录 42"/>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105">
    <w:name w:val="目录 65"/>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106">
    <w:name w:val="toc 7"/>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customStyle="1" w:styleId="107">
    <w:name w:val="toc 6"/>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108">
    <w:name w:val="TOC Heading2"/>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109">
    <w:name w:val="正文缩进2"/>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customStyle="1" w:styleId="110">
    <w:name w:val="目录 43"/>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111">
    <w:name w:val="目录 53"/>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112">
    <w:name w:val="目录 83"/>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character" w:customStyle="1" w:styleId="113">
    <w:name w:val="_Style 32"/>
    <w:qFormat/>
    <w:uiPriority w:val="0"/>
    <w:rPr>
      <w:rFonts w:ascii="宋体" w:hAnsi="宋体" w:eastAsia="Times New Roman" w:cs="Times New Roman"/>
      <w:i/>
      <w:sz w:val="20"/>
    </w:rPr>
  </w:style>
  <w:style w:type="character" w:customStyle="1" w:styleId="114">
    <w:name w:val="_Style 36"/>
    <w:qFormat/>
    <w:uiPriority w:val="0"/>
    <w:rPr>
      <w:rFonts w:ascii="宋体" w:hAnsi="宋体" w:eastAsia="Times New Roman" w:cs="Times New Roman"/>
      <w:sz w:val="20"/>
    </w:rPr>
  </w:style>
  <w:style w:type="character" w:customStyle="1" w:styleId="115">
    <w:name w:val="_Style 34"/>
    <w:qFormat/>
    <w:uiPriority w:val="0"/>
    <w:rPr>
      <w:rFonts w:ascii="宋体" w:hAnsi="宋体" w:eastAsia="Times New Roman" w:cs="Times New Roman"/>
      <w:b/>
      <w:sz w:val="20"/>
    </w:rPr>
  </w:style>
  <w:style w:type="character" w:customStyle="1" w:styleId="116">
    <w:name w:val="_Style 35"/>
    <w:qFormat/>
    <w:uiPriority w:val="0"/>
    <w:rPr>
      <w:rFonts w:ascii="宋体" w:hAnsi="宋体" w:eastAsia="Times New Roman" w:cs="Times New Roman"/>
      <w:i/>
      <w:sz w:val="20"/>
    </w:rPr>
  </w:style>
  <w:style w:type="character" w:customStyle="1" w:styleId="117">
    <w:name w:val="_Style 33"/>
    <w:qFormat/>
    <w:uiPriority w:val="0"/>
    <w:rPr>
      <w:rFonts w:ascii="宋体" w:hAnsi="宋体" w:eastAsia="Times New Roman" w:cs="Times New Roman"/>
      <w:b/>
      <w:i/>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opt\kingsoft\wps-office\office6\C:\Documents%20and%20Settings\Administrator\&#26700;&#38754;\&#30465;&#25919;&#24220;\&#29976;&#21457;&#25913;&#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甘发改发</Template>
  <Company>微软中国</Company>
  <Pages>1</Pages>
  <Words>0</Words>
  <Characters>0</Characters>
  <Lines>0</Lines>
  <Paragraphs>0</Paragraphs>
  <TotalTime>1.33333333333333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2024-05-21T01:52:00Z</dcterms:created>
  <dc:creator>1</dc:creator>
  <cp:lastModifiedBy>lka</cp:lastModifiedBy>
  <cp:lastPrinted>2024-05-24T17:41:00Z</cp:lastPrinted>
  <dcterms:modified xsi:type="dcterms:W3CDTF">2024-05-22T04:14:34Z</dcterms:modified>
  <dc:title>关于印发《甘肃省企业职工“退休一件事”工作方案（试行）》的通知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文种">
    <vt:lpwstr/>
  </property>
</Properties>
</file>