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jc w:val="center"/>
        <w:rPr>
          <w:rFonts w:ascii="微软雅黑" w:hAnsi="微软雅黑" w:eastAsia="微软雅黑"/>
          <w:sz w:val="24"/>
        </w:rPr>
      </w:pPr>
    </w:p>
    <w:p>
      <w:pPr>
        <w:ind w:firstLine="480"/>
        <w:jc w:val="center"/>
        <w:rPr>
          <w:rFonts w:ascii="微软雅黑" w:hAnsi="微软雅黑" w:eastAsia="微软雅黑"/>
          <w:sz w:val="24"/>
        </w:rPr>
      </w:pPr>
    </w:p>
    <w:p>
      <w:pPr>
        <w:spacing w:line="360" w:lineRule="auto"/>
        <w:jc w:val="center"/>
        <w:rPr>
          <w:rFonts w:hint="default" w:ascii="微软雅黑" w:hAnsi="微软雅黑" w:eastAsia="微软雅黑"/>
          <w:b/>
          <w:bCs/>
          <w:sz w:val="52"/>
          <w:szCs w:val="44"/>
          <w:lang w:val="en-US" w:eastAsia="zh-CN"/>
        </w:rPr>
      </w:pPr>
      <w:r>
        <w:rPr>
          <w:rFonts w:hint="eastAsia" w:ascii="微软雅黑" w:hAnsi="微软雅黑" w:eastAsia="微软雅黑"/>
          <w:b/>
          <w:bCs/>
          <w:sz w:val="52"/>
          <w:szCs w:val="44"/>
          <w:lang w:val="en-US" w:eastAsia="zh-CN"/>
        </w:rPr>
        <w:t>庆阳市数字政府建设项目</w:t>
      </w:r>
    </w:p>
    <w:p>
      <w:pPr>
        <w:spacing w:line="360" w:lineRule="auto"/>
        <w:jc w:val="center"/>
        <w:rPr>
          <w:rFonts w:hint="default" w:ascii="微软雅黑" w:hAnsi="微软雅黑" w:eastAsia="微软雅黑"/>
          <w:b/>
          <w:bCs/>
          <w:sz w:val="52"/>
          <w:szCs w:val="44"/>
          <w:lang w:val="en-US" w:eastAsia="zh-CN"/>
        </w:rPr>
      </w:pPr>
      <w:r>
        <w:rPr>
          <w:rFonts w:hint="eastAsia" w:ascii="微软雅黑" w:hAnsi="微软雅黑" w:eastAsia="微软雅黑"/>
          <w:b/>
          <w:bCs/>
          <w:sz w:val="52"/>
          <w:szCs w:val="44"/>
          <w:lang w:val="en-US" w:eastAsia="zh-CN"/>
        </w:rPr>
        <w:t>受理中心</w:t>
      </w:r>
    </w:p>
    <w:p>
      <w:pPr>
        <w:ind w:firstLine="480"/>
        <w:jc w:val="center"/>
        <w:rPr>
          <w:rFonts w:ascii="微软雅黑" w:hAnsi="微软雅黑" w:eastAsia="微软雅黑"/>
          <w:sz w:val="28"/>
        </w:rPr>
      </w:pPr>
    </w:p>
    <w:p>
      <w:pPr>
        <w:spacing w:line="360" w:lineRule="auto"/>
        <w:jc w:val="center"/>
        <w:rPr>
          <w:rFonts w:ascii="微软雅黑" w:hAnsi="微软雅黑" w:eastAsia="微软雅黑"/>
          <w:b/>
          <w:bCs/>
          <w:sz w:val="72"/>
          <w:szCs w:val="52"/>
        </w:rPr>
      </w:pPr>
      <w:r>
        <w:rPr>
          <w:rFonts w:hint="eastAsia" w:ascii="微软雅黑" w:hAnsi="微软雅黑" w:eastAsia="微软雅黑"/>
          <w:b/>
          <w:bCs/>
          <w:sz w:val="72"/>
          <w:szCs w:val="52"/>
        </w:rPr>
        <w:t>操</w:t>
      </w:r>
    </w:p>
    <w:p>
      <w:pPr>
        <w:spacing w:line="360" w:lineRule="auto"/>
        <w:jc w:val="center"/>
        <w:rPr>
          <w:rFonts w:ascii="微软雅黑" w:hAnsi="微软雅黑" w:eastAsia="微软雅黑"/>
          <w:b/>
          <w:bCs/>
          <w:sz w:val="72"/>
          <w:szCs w:val="52"/>
        </w:rPr>
      </w:pPr>
      <w:r>
        <w:rPr>
          <w:rFonts w:hint="eastAsia" w:ascii="微软雅黑" w:hAnsi="微软雅黑" w:eastAsia="微软雅黑"/>
          <w:b/>
          <w:bCs/>
          <w:sz w:val="72"/>
          <w:szCs w:val="52"/>
        </w:rPr>
        <w:t>作</w:t>
      </w:r>
    </w:p>
    <w:p>
      <w:pPr>
        <w:spacing w:line="360" w:lineRule="auto"/>
        <w:jc w:val="center"/>
        <w:rPr>
          <w:rFonts w:ascii="微软雅黑" w:hAnsi="微软雅黑" w:eastAsia="微软雅黑"/>
          <w:b/>
          <w:bCs/>
          <w:sz w:val="72"/>
          <w:szCs w:val="52"/>
        </w:rPr>
      </w:pPr>
      <w:r>
        <w:rPr>
          <w:rFonts w:hint="eastAsia" w:ascii="微软雅黑" w:hAnsi="微软雅黑" w:eastAsia="微软雅黑"/>
          <w:b/>
          <w:bCs/>
          <w:sz w:val="72"/>
          <w:szCs w:val="52"/>
        </w:rPr>
        <w:t>手</w:t>
      </w:r>
    </w:p>
    <w:p>
      <w:pPr>
        <w:spacing w:line="360" w:lineRule="auto"/>
        <w:jc w:val="center"/>
        <w:rPr>
          <w:rFonts w:ascii="黑体" w:hAnsi="黑体" w:eastAsia="黑体"/>
          <w:b/>
          <w:bCs/>
          <w:sz w:val="72"/>
          <w:szCs w:val="52"/>
        </w:rPr>
      </w:pPr>
      <w:r>
        <w:rPr>
          <w:rFonts w:hint="eastAsia" w:ascii="微软雅黑" w:hAnsi="微软雅黑" w:eastAsia="微软雅黑"/>
          <w:b/>
          <w:bCs/>
          <w:sz w:val="72"/>
          <w:szCs w:val="52"/>
        </w:rPr>
        <w:t>册</w:t>
      </w:r>
    </w:p>
    <w:p>
      <w:pPr>
        <w:spacing w:line="360" w:lineRule="auto"/>
        <w:ind w:firstLine="480"/>
        <w:jc w:val="center"/>
        <w:rPr>
          <w:rFonts w:ascii="微软雅黑" w:hAnsi="微软雅黑" w:eastAsia="微软雅黑"/>
          <w:sz w:val="28"/>
        </w:rPr>
      </w:pPr>
    </w:p>
    <w:p>
      <w:pPr>
        <w:ind w:firstLine="480"/>
        <w:jc w:val="center"/>
        <w:rPr>
          <w:rFonts w:ascii="微软雅黑" w:hAnsi="微软雅黑" w:eastAsia="微软雅黑"/>
          <w:sz w:val="28"/>
        </w:rPr>
      </w:pPr>
    </w:p>
    <w:p>
      <w:pPr>
        <w:ind w:firstLine="480"/>
        <w:jc w:val="center"/>
        <w:rPr>
          <w:rFonts w:ascii="微软雅黑" w:hAnsi="微软雅黑" w:eastAsia="微软雅黑"/>
          <w:sz w:val="28"/>
        </w:rPr>
      </w:pPr>
    </w:p>
    <w:p>
      <w:pPr>
        <w:jc w:val="center"/>
        <w:rPr>
          <w:rFonts w:ascii="黑体" w:hAnsi="黑体" w:eastAsia="黑体" w:cs="黑体"/>
          <w:b/>
          <w:sz w:val="28"/>
          <w:szCs w:val="30"/>
        </w:rPr>
      </w:pPr>
    </w:p>
    <w:p>
      <w:pPr>
        <w:ind w:firstLine="3213" w:firstLineChars="1000"/>
        <w:rPr>
          <w:rFonts w:ascii="黑体" w:hAnsi="黑体" w:eastAsia="黑体" w:cs="黑体"/>
          <w:b/>
          <w:sz w:val="32"/>
          <w:szCs w:val="30"/>
        </w:rPr>
      </w:pPr>
      <w:r>
        <w:rPr>
          <w:rFonts w:hint="eastAsia" w:ascii="黑体" w:hAnsi="黑体" w:eastAsia="黑体" w:cs="黑体"/>
          <w:b/>
          <w:sz w:val="32"/>
          <w:szCs w:val="30"/>
        </w:rPr>
        <w:t>20</w:t>
      </w:r>
      <w:r>
        <w:rPr>
          <w:rFonts w:hint="eastAsia" w:ascii="黑体" w:hAnsi="黑体" w:eastAsia="黑体" w:cs="黑体"/>
          <w:b/>
          <w:sz w:val="32"/>
          <w:szCs w:val="30"/>
          <w:lang w:val="en-US" w:eastAsia="zh-CN"/>
        </w:rPr>
        <w:t>22</w:t>
      </w:r>
      <w:r>
        <w:rPr>
          <w:rFonts w:hint="eastAsia" w:ascii="黑体" w:hAnsi="黑体" w:eastAsia="黑体" w:cs="黑体"/>
          <w:b/>
          <w:sz w:val="32"/>
          <w:szCs w:val="30"/>
        </w:rPr>
        <w:t>年</w:t>
      </w:r>
      <w:r>
        <w:rPr>
          <w:rFonts w:hint="eastAsia" w:ascii="黑体" w:hAnsi="黑体" w:eastAsia="黑体" w:cs="黑体"/>
          <w:b/>
          <w:sz w:val="32"/>
          <w:szCs w:val="30"/>
          <w:lang w:val="en-US" w:eastAsia="zh-CN"/>
        </w:rPr>
        <w:t>1</w:t>
      </w:r>
      <w:r>
        <w:rPr>
          <w:rFonts w:hint="eastAsia" w:ascii="黑体" w:hAnsi="黑体" w:eastAsia="黑体" w:cs="黑体"/>
          <w:b/>
          <w:sz w:val="32"/>
          <w:szCs w:val="30"/>
        </w:rPr>
        <w:t>月</w:t>
      </w:r>
    </w:p>
    <w:p/>
    <w:p/>
    <w:p/>
    <w:p/>
    <w:p>
      <w:pPr>
        <w:sectPr>
          <w:footerReference r:id="rId5" w:type="first"/>
          <w:headerReference r:id="rId3" w:type="default"/>
          <w:footerReference r:id="rId4" w:type="default"/>
          <w:pgSz w:w="11906" w:h="16838"/>
          <w:pgMar w:top="1440" w:right="1800" w:bottom="1440" w:left="1800" w:header="851" w:footer="992" w:gutter="0"/>
          <w:cols w:space="425" w:num="1"/>
          <w:titlePg/>
          <w:docGrid w:type="lines" w:linePitch="312" w:charSpace="0"/>
        </w:sectPr>
      </w:pPr>
    </w:p>
    <w:p/>
    <w:p>
      <w:pPr>
        <w:pStyle w:val="2"/>
        <w:numPr>
          <w:ilvl w:val="0"/>
          <w:numId w:val="2"/>
        </w:numPr>
      </w:pPr>
      <w:bookmarkStart w:id="0" w:name="_Toc13457"/>
      <w:r>
        <w:rPr>
          <w:rFonts w:hint="eastAsia"/>
        </w:rPr>
        <w:t>系统登录及主界面</w:t>
      </w:r>
      <w:bookmarkEnd w:id="0"/>
    </w:p>
    <w:p>
      <w:pPr>
        <w:spacing w:line="360" w:lineRule="auto"/>
        <w:ind w:firstLine="420"/>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lang w:val="en-US" w:eastAsia="zh-CN"/>
        </w:rPr>
        <w:t>部门</w:t>
      </w:r>
      <w:r>
        <w:rPr>
          <w:rFonts w:hint="eastAsia" w:asciiTheme="minorEastAsia" w:hAnsiTheme="minorEastAsia" w:cstheme="minorEastAsia"/>
          <w:sz w:val="24"/>
          <w:szCs w:val="24"/>
        </w:rPr>
        <w:t>工作人员在浏览器中输入</w:t>
      </w:r>
      <w:r>
        <w:rPr>
          <w:rFonts w:hint="eastAsia" w:asciiTheme="minorEastAsia" w:hAnsiTheme="minorEastAsia" w:cstheme="minorEastAsia"/>
          <w:sz w:val="24"/>
          <w:szCs w:val="24"/>
          <w:lang w:eastAsia="zh-CN"/>
        </w:rPr>
        <w:t>【http://59.219.113.212:8003/wel/index】</w:t>
      </w:r>
      <w:r>
        <w:rPr>
          <w:rFonts w:hint="eastAsia" w:asciiTheme="minorEastAsia" w:hAnsiTheme="minorEastAsia" w:cstheme="minorEastAsia"/>
          <w:sz w:val="24"/>
          <w:szCs w:val="24"/>
        </w:rPr>
        <w:t>即可打开系统的登录界面，界面如下图所示：</w:t>
      </w:r>
      <w:bookmarkStart w:id="4" w:name="_GoBack"/>
      <w:bookmarkEnd w:id="4"/>
    </w:p>
    <w:p>
      <w:r>
        <w:drawing>
          <wp:inline distT="0" distB="0" distL="114300" distR="114300">
            <wp:extent cx="5269230" cy="2403475"/>
            <wp:effectExtent l="0" t="0" r="762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9230" cy="2403475"/>
                    </a:xfrm>
                    <a:prstGeom prst="rect">
                      <a:avLst/>
                    </a:prstGeom>
                    <a:noFill/>
                    <a:ln>
                      <a:noFill/>
                    </a:ln>
                  </pic:spPr>
                </pic:pic>
              </a:graphicData>
            </a:graphic>
          </wp:inline>
        </w:drawing>
      </w:r>
    </w:p>
    <w:p/>
    <w:p>
      <w:pPr>
        <w:spacing w:line="360" w:lineRule="auto"/>
        <w:rPr>
          <w:rFonts w:ascii="宋体" w:hAnsi="宋体"/>
          <w:kern w:val="0"/>
          <w:szCs w:val="21"/>
        </w:rPr>
      </w:pPr>
      <w:r>
        <w:rPr>
          <w:rFonts w:hint="eastAsia" w:ascii="宋体" w:hAnsi="宋体"/>
          <w:kern w:val="0"/>
          <w:sz w:val="24"/>
          <w:szCs w:val="24"/>
        </w:rPr>
        <w:t>输入登录名和密码后单击“</w:t>
      </w:r>
      <w:r>
        <w:rPr>
          <w:rFonts w:hint="eastAsia" w:ascii="宋体" w:hAnsi="宋体"/>
          <w:kern w:val="0"/>
          <w:sz w:val="24"/>
          <w:szCs w:val="24"/>
          <w:lang w:val="en-US" w:eastAsia="zh-CN"/>
        </w:rPr>
        <w:t>登录</w:t>
      </w:r>
      <w:r>
        <w:rPr>
          <w:rFonts w:hint="eastAsia" w:ascii="宋体" w:hAnsi="宋体"/>
          <w:kern w:val="0"/>
          <w:sz w:val="24"/>
          <w:szCs w:val="24"/>
        </w:rPr>
        <w:t>”即可进入</w:t>
      </w:r>
      <w:r>
        <w:rPr>
          <w:rFonts w:hint="eastAsia" w:ascii="宋体" w:hAnsi="宋体"/>
          <w:kern w:val="0"/>
          <w:sz w:val="24"/>
          <w:szCs w:val="24"/>
          <w:lang w:val="en-US" w:eastAsia="zh-CN"/>
        </w:rPr>
        <w:t>办理中心主页面</w:t>
      </w:r>
      <w:r>
        <w:rPr>
          <w:rFonts w:hint="eastAsia" w:ascii="宋体" w:hAnsi="宋体"/>
          <w:kern w:val="0"/>
          <w:sz w:val="24"/>
          <w:szCs w:val="24"/>
        </w:rPr>
        <w:t>，界面如下所示：</w:t>
      </w:r>
    </w:p>
    <w:p>
      <w:pPr>
        <w:rPr>
          <w:rFonts w:ascii="宋体" w:hAnsi="宋体"/>
          <w:kern w:val="0"/>
          <w:szCs w:val="21"/>
        </w:rPr>
      </w:pPr>
      <w:r>
        <w:drawing>
          <wp:inline distT="0" distB="0" distL="114300" distR="114300">
            <wp:extent cx="5269230" cy="2418715"/>
            <wp:effectExtent l="0" t="0" r="762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230" cy="2418715"/>
                    </a:xfrm>
                    <a:prstGeom prst="rect">
                      <a:avLst/>
                    </a:prstGeom>
                    <a:noFill/>
                    <a:ln>
                      <a:noFill/>
                    </a:ln>
                  </pic:spPr>
                </pic:pic>
              </a:graphicData>
            </a:graphic>
          </wp:inline>
        </w:drawing>
      </w:r>
    </w:p>
    <w:p/>
    <w:p/>
    <w:p/>
    <w:p/>
    <w:p/>
    <w:p>
      <w:pPr>
        <w:pStyle w:val="2"/>
        <w:numPr>
          <w:ilvl w:val="0"/>
          <w:numId w:val="0"/>
        </w:numPr>
        <w:sectPr>
          <w:footerReference r:id="rId6" w:type="default"/>
          <w:pgSz w:w="11906" w:h="16838"/>
          <w:pgMar w:top="1440" w:right="1800" w:bottom="1440" w:left="1800" w:header="851" w:footer="992" w:gutter="0"/>
          <w:pgNumType w:start="2"/>
          <w:cols w:space="425" w:num="1"/>
          <w:docGrid w:type="lines" w:linePitch="312" w:charSpace="0"/>
        </w:sectPr>
      </w:pPr>
    </w:p>
    <w:p>
      <w:pPr>
        <w:pStyle w:val="2"/>
        <w:numPr>
          <w:ilvl w:val="0"/>
          <w:numId w:val="2"/>
        </w:numPr>
      </w:pPr>
      <w:bookmarkStart w:id="1" w:name="_Toc7654"/>
      <w:r>
        <w:rPr>
          <w:rFonts w:hint="eastAsia"/>
        </w:rPr>
        <w:t>业务流程图</w:t>
      </w:r>
      <w:bookmarkEnd w:id="1"/>
    </w:p>
    <w:p>
      <w:r>
        <w:rPr>
          <w:rFonts w:hint="eastAsia"/>
        </w:rPr>
        <w:drawing>
          <wp:inline distT="0" distB="0" distL="114300" distR="114300">
            <wp:extent cx="5269865" cy="3276600"/>
            <wp:effectExtent l="0" t="0" r="6985" b="0"/>
            <wp:docPr id="19" name="图片 19" descr="受理中心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受理中心流程"/>
                    <pic:cNvPicPr>
                      <a:picLocks noChangeAspect="1"/>
                    </pic:cNvPicPr>
                  </pic:nvPicPr>
                  <pic:blipFill>
                    <a:blip r:embed="rId11"/>
                    <a:stretch>
                      <a:fillRect/>
                    </a:stretch>
                  </pic:blipFill>
                  <pic:spPr>
                    <a:xfrm>
                      <a:off x="0" y="0"/>
                      <a:ext cx="5269865" cy="3276600"/>
                    </a:xfrm>
                    <a:prstGeom prst="rect">
                      <a:avLst/>
                    </a:prstGeom>
                  </pic:spPr>
                </pic:pic>
              </a:graphicData>
            </a:graphic>
          </wp:inline>
        </w:drawing>
      </w:r>
    </w:p>
    <w:p>
      <w:pPr>
        <w:jc w:val="center"/>
      </w:pPr>
    </w:p>
    <w:p/>
    <w:p/>
    <w:p>
      <w:pPr>
        <w:pStyle w:val="2"/>
        <w:numPr>
          <w:ilvl w:val="0"/>
          <w:numId w:val="2"/>
        </w:numPr>
      </w:pPr>
      <w:bookmarkStart w:id="2" w:name="_Toc11376"/>
      <w:r>
        <w:rPr>
          <w:rFonts w:hint="eastAsia"/>
        </w:rPr>
        <w:t>系统模块功能介绍</w:t>
      </w:r>
      <w:bookmarkEnd w:id="2"/>
    </w:p>
    <w:p>
      <w:pPr>
        <w:pStyle w:val="3"/>
        <w:numPr>
          <w:ilvl w:val="0"/>
          <w:numId w:val="3"/>
        </w:numPr>
        <w:bidi w:val="0"/>
        <w:ind w:left="425" w:leftChars="0"/>
        <w:rPr>
          <w:rFonts w:hint="eastAsia"/>
          <w:lang w:val="en-US" w:eastAsia="zh-CN"/>
        </w:rPr>
      </w:pPr>
      <w:bookmarkStart w:id="3" w:name="_Toc5260"/>
      <w:r>
        <w:rPr>
          <w:rFonts w:hint="eastAsia"/>
          <w:lang w:val="en-US" w:eastAsia="zh-CN"/>
        </w:rPr>
        <w:t xml:space="preserve"> 业务处理</w:t>
      </w:r>
    </w:p>
    <w:p>
      <w:pPr>
        <w:pStyle w:val="4"/>
        <w:bidi w:val="0"/>
        <w:rPr>
          <w:rFonts w:hint="default"/>
          <w:lang w:val="en-US" w:eastAsia="zh-CN"/>
        </w:rPr>
      </w:pPr>
      <w:r>
        <w:rPr>
          <w:rFonts w:hint="eastAsia"/>
          <w:lang w:val="en-US" w:eastAsia="zh-CN"/>
        </w:rPr>
        <w:t>一、统一送达</w:t>
      </w:r>
    </w:p>
    <w:bookmarkEnd w:id="3"/>
    <w:p>
      <w:pPr>
        <w:spacing w:line="360" w:lineRule="auto"/>
        <w:ind w:firstLine="450"/>
        <w:rPr>
          <w:rFonts w:hint="eastAsia"/>
          <w:sz w:val="24"/>
          <w:szCs w:val="28"/>
          <w:lang w:val="en-US" w:eastAsia="zh-CN"/>
        </w:rPr>
      </w:pPr>
      <w:r>
        <w:rPr>
          <w:rFonts w:hint="eastAsia"/>
          <w:sz w:val="24"/>
          <w:szCs w:val="28"/>
          <w:lang w:val="en-US" w:eastAsia="zh-CN"/>
        </w:rPr>
        <w:t>企业或群众在申请某事项的过程中，结果送达方式如选择为“窗口”，则需要审批人员可点击左侧【业务处理】→【统一送达】，点击需要送达的某个事项的右侧“送达”按钮，则完成办理结果推送至窗口。</w:t>
      </w:r>
    </w:p>
    <w:p>
      <w:pPr>
        <w:spacing w:line="360" w:lineRule="auto"/>
      </w:pPr>
      <w:r>
        <w:drawing>
          <wp:inline distT="0" distB="0" distL="114300" distR="114300">
            <wp:extent cx="5269230" cy="22479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
                    <a:srcRect t="7208"/>
                    <a:stretch>
                      <a:fillRect/>
                    </a:stretch>
                  </pic:blipFill>
                  <pic:spPr>
                    <a:xfrm>
                      <a:off x="0" y="0"/>
                      <a:ext cx="5269230" cy="2247900"/>
                    </a:xfrm>
                    <a:prstGeom prst="rect">
                      <a:avLst/>
                    </a:prstGeom>
                    <a:noFill/>
                    <a:ln>
                      <a:noFill/>
                    </a:ln>
                  </pic:spPr>
                </pic:pic>
              </a:graphicData>
            </a:graphic>
          </wp:inline>
        </w:drawing>
      </w:r>
    </w:p>
    <w:p>
      <w:pPr>
        <w:pStyle w:val="3"/>
        <w:numPr>
          <w:ilvl w:val="0"/>
          <w:numId w:val="3"/>
        </w:numPr>
        <w:bidi w:val="0"/>
        <w:ind w:left="425" w:leftChars="0" w:hanging="425" w:firstLineChars="0"/>
        <w:rPr>
          <w:rFonts w:hint="eastAsia"/>
          <w:lang w:val="en-US" w:eastAsia="zh-CN"/>
        </w:rPr>
      </w:pPr>
      <w:r>
        <w:rPr>
          <w:rFonts w:hint="eastAsia"/>
          <w:lang w:val="en-US" w:eastAsia="zh-CN"/>
        </w:rPr>
        <w:t xml:space="preserve"> 无差别受理</w:t>
      </w:r>
    </w:p>
    <w:p>
      <w:pPr>
        <w:pStyle w:val="4"/>
        <w:bidi w:val="0"/>
        <w:rPr>
          <w:rFonts w:hint="default"/>
          <w:lang w:val="en-US" w:eastAsia="zh-CN"/>
        </w:rPr>
      </w:pPr>
      <w:r>
        <w:rPr>
          <w:rFonts w:hint="eastAsia"/>
          <w:lang w:val="en-US" w:eastAsia="zh-CN"/>
        </w:rPr>
        <w:t>一、网上申报预审</w:t>
      </w:r>
    </w:p>
    <w:p>
      <w:pPr>
        <w:spacing w:line="360" w:lineRule="auto"/>
        <w:rPr>
          <w:rFonts w:hint="eastAsia"/>
          <w:sz w:val="24"/>
          <w:szCs w:val="28"/>
          <w:lang w:val="en-US" w:eastAsia="zh-CN"/>
        </w:rPr>
      </w:pPr>
      <w:r>
        <w:rPr>
          <w:rFonts w:hint="eastAsia"/>
          <w:lang w:val="en-US" w:eastAsia="zh-CN"/>
        </w:rPr>
        <w:t xml:space="preserve">   </w:t>
      </w:r>
      <w:r>
        <w:rPr>
          <w:rFonts w:hint="eastAsia"/>
          <w:sz w:val="24"/>
          <w:szCs w:val="28"/>
          <w:lang w:val="en-US" w:eastAsia="zh-CN"/>
        </w:rPr>
        <w:t>审批人员可点击左侧【无差别受理】→【网上申报预审】，进入到网上申报的办件预审页面，点击右上角预审按钮，选择同意与否完成事项预审环节。</w:t>
      </w:r>
    </w:p>
    <w:p>
      <w:pPr>
        <w:spacing w:line="360" w:lineRule="auto"/>
      </w:pPr>
      <w:r>
        <w:drawing>
          <wp:inline distT="0" distB="0" distL="114300" distR="114300">
            <wp:extent cx="5269230" cy="1948180"/>
            <wp:effectExtent l="0" t="0" r="7620" b="139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3"/>
                    <a:stretch>
                      <a:fillRect/>
                    </a:stretch>
                  </pic:blipFill>
                  <pic:spPr>
                    <a:xfrm>
                      <a:off x="0" y="0"/>
                      <a:ext cx="5269230" cy="1948180"/>
                    </a:xfrm>
                    <a:prstGeom prst="rect">
                      <a:avLst/>
                    </a:prstGeom>
                    <a:noFill/>
                    <a:ln>
                      <a:noFill/>
                    </a:ln>
                  </pic:spPr>
                </pic:pic>
              </a:graphicData>
            </a:graphic>
          </wp:inline>
        </w:drawing>
      </w:r>
    </w:p>
    <w:p>
      <w:pPr>
        <w:spacing w:line="360" w:lineRule="auto"/>
        <w:rPr>
          <w:rFonts w:hint="default"/>
          <w:lang w:val="en-US" w:eastAsia="zh-CN"/>
        </w:rPr>
      </w:pPr>
    </w:p>
    <w:p>
      <w:pPr>
        <w:pStyle w:val="4"/>
        <w:numPr>
          <w:ilvl w:val="0"/>
          <w:numId w:val="4"/>
        </w:numPr>
        <w:bidi w:val="0"/>
        <w:rPr>
          <w:rFonts w:hint="eastAsia"/>
          <w:lang w:val="en-US" w:eastAsia="zh-CN"/>
        </w:rPr>
      </w:pPr>
      <w:r>
        <w:rPr>
          <w:rFonts w:hint="eastAsia"/>
          <w:lang w:val="en-US" w:eastAsia="zh-CN"/>
        </w:rPr>
        <w:t>办件登记</w:t>
      </w:r>
    </w:p>
    <w:p>
      <w:pPr>
        <w:numPr>
          <w:ilvl w:val="0"/>
          <w:numId w:val="0"/>
        </w:numPr>
        <w:spacing w:line="360" w:lineRule="auto"/>
        <w:ind w:firstLine="480" w:firstLineChars="200"/>
        <w:rPr>
          <w:rFonts w:hint="eastAsia"/>
          <w:sz w:val="24"/>
          <w:szCs w:val="28"/>
          <w:lang w:val="en-US" w:eastAsia="zh-CN"/>
        </w:rPr>
      </w:pPr>
      <w:r>
        <w:rPr>
          <w:rFonts w:hint="eastAsia"/>
          <w:sz w:val="24"/>
          <w:szCs w:val="28"/>
          <w:lang w:val="en-US" w:eastAsia="zh-CN"/>
        </w:rPr>
        <w:t>1、窗口工作人员可点击左侧【无差别受理】→【办件登记】，进入到事项登记页面，根据用户需求选择依申请或公共服务类事项，再根据用户需求（咨询或申报）某个事项，登记完成页面会出现“登记完成”（详情见下图）</w:t>
      </w:r>
    </w:p>
    <w:p>
      <w:pPr>
        <w:numPr>
          <w:ilvl w:val="0"/>
          <w:numId w:val="0"/>
        </w:numPr>
        <w:spacing w:line="360" w:lineRule="auto"/>
        <w:ind w:firstLine="480" w:firstLineChars="200"/>
        <w:rPr>
          <w:rFonts w:hint="eastAsia"/>
          <w:sz w:val="24"/>
          <w:szCs w:val="28"/>
          <w:lang w:val="en-US" w:eastAsia="zh-CN"/>
        </w:rPr>
      </w:pPr>
    </w:p>
    <w:p>
      <w:pPr>
        <w:numPr>
          <w:ilvl w:val="0"/>
          <w:numId w:val="0"/>
        </w:numPr>
        <w:spacing w:line="360" w:lineRule="auto"/>
        <w:ind w:firstLine="480" w:firstLineChars="200"/>
        <w:rPr>
          <w:rFonts w:hint="eastAsia"/>
          <w:sz w:val="24"/>
          <w:szCs w:val="28"/>
          <w:lang w:val="en-US" w:eastAsia="zh-CN"/>
        </w:rPr>
      </w:pPr>
    </w:p>
    <w:p>
      <w:pPr>
        <w:numPr>
          <w:ilvl w:val="0"/>
          <w:numId w:val="0"/>
        </w:numPr>
        <w:spacing w:line="360" w:lineRule="auto"/>
      </w:pPr>
      <w:r>
        <w:drawing>
          <wp:inline distT="0" distB="0" distL="114300" distR="114300">
            <wp:extent cx="5269865" cy="2160905"/>
            <wp:effectExtent l="0" t="0" r="6985" b="1079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4"/>
                    <a:stretch>
                      <a:fillRect/>
                    </a:stretch>
                  </pic:blipFill>
                  <pic:spPr>
                    <a:xfrm>
                      <a:off x="0" y="0"/>
                      <a:ext cx="5269865" cy="2160905"/>
                    </a:xfrm>
                    <a:prstGeom prst="rect">
                      <a:avLst/>
                    </a:prstGeom>
                    <a:noFill/>
                    <a:ln>
                      <a:noFill/>
                    </a:ln>
                  </pic:spPr>
                </pic:pic>
              </a:graphicData>
            </a:graphic>
          </wp:inline>
        </w:drawing>
      </w:r>
    </w:p>
    <w:p>
      <w:pPr>
        <w:numPr>
          <w:ilvl w:val="0"/>
          <w:numId w:val="0"/>
        </w:numPr>
        <w:spacing w:line="360" w:lineRule="auto"/>
        <w:ind w:firstLine="480" w:firstLineChars="200"/>
        <w:rPr>
          <w:rFonts w:hint="eastAsia"/>
          <w:sz w:val="24"/>
          <w:szCs w:val="28"/>
          <w:lang w:val="en-US" w:eastAsia="zh-CN"/>
        </w:rPr>
      </w:pPr>
      <w:r>
        <w:rPr>
          <w:rFonts w:hint="eastAsia"/>
          <w:sz w:val="24"/>
          <w:szCs w:val="28"/>
          <w:lang w:val="en-US" w:eastAsia="zh-CN"/>
        </w:rPr>
        <w:t>2、阅读申报须知，填写事项申报人的基本信息，上传事项所需的申请材料后点击提交，弹出提交成功的具体操作如下（见下图）</w:t>
      </w:r>
    </w:p>
    <w:p>
      <w:pPr>
        <w:numPr>
          <w:ilvl w:val="0"/>
          <w:numId w:val="0"/>
        </w:numPr>
        <w:spacing w:line="360" w:lineRule="auto"/>
      </w:pPr>
      <w:r>
        <w:drawing>
          <wp:inline distT="0" distB="0" distL="114300" distR="114300">
            <wp:extent cx="5271135" cy="1690370"/>
            <wp:effectExtent l="0" t="0" r="5715" b="508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5"/>
                    <a:srcRect t="8251"/>
                    <a:stretch>
                      <a:fillRect/>
                    </a:stretch>
                  </pic:blipFill>
                  <pic:spPr>
                    <a:xfrm>
                      <a:off x="0" y="0"/>
                      <a:ext cx="5271135" cy="1690370"/>
                    </a:xfrm>
                    <a:prstGeom prst="rect">
                      <a:avLst/>
                    </a:prstGeom>
                    <a:noFill/>
                    <a:ln>
                      <a:noFill/>
                    </a:ln>
                  </pic:spPr>
                </pic:pic>
              </a:graphicData>
            </a:graphic>
          </wp:inline>
        </w:drawing>
      </w:r>
    </w:p>
    <w:p>
      <w:pPr>
        <w:numPr>
          <w:ilvl w:val="0"/>
          <w:numId w:val="0"/>
        </w:numPr>
        <w:spacing w:line="360" w:lineRule="auto"/>
      </w:pPr>
      <w:r>
        <w:drawing>
          <wp:inline distT="0" distB="0" distL="114300" distR="114300">
            <wp:extent cx="5269230" cy="1941195"/>
            <wp:effectExtent l="0" t="0" r="7620" b="190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6"/>
                    <a:srcRect t="8253"/>
                    <a:stretch>
                      <a:fillRect/>
                    </a:stretch>
                  </pic:blipFill>
                  <pic:spPr>
                    <a:xfrm>
                      <a:off x="0" y="0"/>
                      <a:ext cx="5269230" cy="1941195"/>
                    </a:xfrm>
                    <a:prstGeom prst="rect">
                      <a:avLst/>
                    </a:prstGeom>
                    <a:noFill/>
                    <a:ln>
                      <a:noFill/>
                    </a:ln>
                  </pic:spPr>
                </pic:pic>
              </a:graphicData>
            </a:graphic>
          </wp:inline>
        </w:drawing>
      </w:r>
    </w:p>
    <w:p>
      <w:pPr>
        <w:numPr>
          <w:ilvl w:val="0"/>
          <w:numId w:val="0"/>
        </w:numPr>
        <w:spacing w:line="360" w:lineRule="auto"/>
      </w:pPr>
      <w:r>
        <w:drawing>
          <wp:inline distT="0" distB="0" distL="114300" distR="114300">
            <wp:extent cx="5271135" cy="2128520"/>
            <wp:effectExtent l="0" t="0" r="5715" b="508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7"/>
                    <a:stretch>
                      <a:fillRect/>
                    </a:stretch>
                  </pic:blipFill>
                  <pic:spPr>
                    <a:xfrm>
                      <a:off x="0" y="0"/>
                      <a:ext cx="5271135" cy="2128520"/>
                    </a:xfrm>
                    <a:prstGeom prst="rect">
                      <a:avLst/>
                    </a:prstGeom>
                    <a:noFill/>
                    <a:ln>
                      <a:noFill/>
                    </a:ln>
                  </pic:spPr>
                </pic:pic>
              </a:graphicData>
            </a:graphic>
          </wp:inline>
        </w:drawing>
      </w:r>
    </w:p>
    <w:p>
      <w:pPr>
        <w:numPr>
          <w:ilvl w:val="0"/>
          <w:numId w:val="0"/>
        </w:numPr>
        <w:spacing w:line="360" w:lineRule="auto"/>
      </w:pPr>
      <w:r>
        <w:drawing>
          <wp:inline distT="0" distB="0" distL="114300" distR="114300">
            <wp:extent cx="5269230" cy="2078990"/>
            <wp:effectExtent l="0" t="0" r="7620" b="1651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8"/>
                    <a:stretch>
                      <a:fillRect/>
                    </a:stretch>
                  </pic:blipFill>
                  <pic:spPr>
                    <a:xfrm>
                      <a:off x="0" y="0"/>
                      <a:ext cx="5269230" cy="2078990"/>
                    </a:xfrm>
                    <a:prstGeom prst="rect">
                      <a:avLst/>
                    </a:prstGeom>
                    <a:noFill/>
                    <a:ln>
                      <a:noFill/>
                    </a:ln>
                  </pic:spPr>
                </pic:pic>
              </a:graphicData>
            </a:graphic>
          </wp:inline>
        </w:drawing>
      </w:r>
    </w:p>
    <w:p>
      <w:pPr>
        <w:pStyle w:val="4"/>
        <w:numPr>
          <w:ilvl w:val="0"/>
          <w:numId w:val="4"/>
        </w:numPr>
        <w:bidi w:val="0"/>
        <w:rPr>
          <w:rFonts w:hint="eastAsia"/>
          <w:lang w:val="en-US" w:eastAsia="zh-CN"/>
        </w:rPr>
      </w:pPr>
      <w:r>
        <w:rPr>
          <w:rFonts w:hint="eastAsia"/>
          <w:lang w:val="en-US" w:eastAsia="zh-CN"/>
        </w:rPr>
        <w:t>一窗受理</w:t>
      </w:r>
    </w:p>
    <w:p>
      <w:pPr>
        <w:spacing w:line="360" w:lineRule="auto"/>
        <w:rPr>
          <w:rFonts w:hint="eastAsia"/>
          <w:sz w:val="24"/>
          <w:szCs w:val="28"/>
          <w:lang w:val="en-US" w:eastAsia="zh-CN"/>
        </w:rPr>
      </w:pPr>
      <w:r>
        <w:rPr>
          <w:rFonts w:hint="eastAsia"/>
          <w:lang w:val="en-US" w:eastAsia="zh-CN"/>
        </w:rPr>
        <w:t xml:space="preserve">     </w:t>
      </w:r>
      <w:r>
        <w:rPr>
          <w:rFonts w:hint="eastAsia"/>
          <w:sz w:val="24"/>
          <w:szCs w:val="28"/>
          <w:lang w:val="en-US" w:eastAsia="zh-CN"/>
        </w:rPr>
        <w:t>事项审批工作人员可点击左侧【无差别受理】→【一窗受理】，进入到事项受理页面，选择任意一个待受理事项，点击右侧受理按钮，完成受理环节。备注：所有窗口登记事项都需要在受理页面完成受理环节，办件才能正常流转到办理中心。</w:t>
      </w:r>
    </w:p>
    <w:p>
      <w:r>
        <w:drawing>
          <wp:inline distT="0" distB="0" distL="114300" distR="114300">
            <wp:extent cx="5269230" cy="1855470"/>
            <wp:effectExtent l="0" t="0" r="7620" b="1143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9"/>
                    <a:stretch>
                      <a:fillRect/>
                    </a:stretch>
                  </pic:blipFill>
                  <pic:spPr>
                    <a:xfrm>
                      <a:off x="0" y="0"/>
                      <a:ext cx="5269230" cy="1855470"/>
                    </a:xfrm>
                    <a:prstGeom prst="rect">
                      <a:avLst/>
                    </a:prstGeom>
                    <a:noFill/>
                    <a:ln>
                      <a:noFill/>
                    </a:ln>
                  </pic:spPr>
                </pic:pic>
              </a:graphicData>
            </a:graphic>
          </wp:inline>
        </w:drawing>
      </w:r>
    </w:p>
    <w:p>
      <w:pPr>
        <w:rPr>
          <w:rFonts w:hint="default"/>
          <w:lang w:val="en-US" w:eastAsia="zh-CN"/>
        </w:rPr>
      </w:pPr>
      <w:r>
        <w:drawing>
          <wp:inline distT="0" distB="0" distL="114300" distR="114300">
            <wp:extent cx="5271135" cy="1713230"/>
            <wp:effectExtent l="0" t="0" r="5715" b="127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0"/>
                    <a:stretch>
                      <a:fillRect/>
                    </a:stretch>
                  </pic:blipFill>
                  <pic:spPr>
                    <a:xfrm>
                      <a:off x="0" y="0"/>
                      <a:ext cx="5271135" cy="1713230"/>
                    </a:xfrm>
                    <a:prstGeom prst="rect">
                      <a:avLst/>
                    </a:prstGeom>
                    <a:noFill/>
                    <a:ln>
                      <a:noFill/>
                    </a:ln>
                  </pic:spPr>
                </pic:pic>
              </a:graphicData>
            </a:graphic>
          </wp:inline>
        </w:drawing>
      </w:r>
    </w:p>
    <w:p>
      <w:pPr>
        <w:pStyle w:val="4"/>
        <w:numPr>
          <w:ilvl w:val="0"/>
          <w:numId w:val="4"/>
        </w:numPr>
        <w:bidi w:val="0"/>
        <w:rPr>
          <w:rFonts w:hint="default"/>
          <w:lang w:val="en-US" w:eastAsia="zh-CN"/>
        </w:rPr>
      </w:pPr>
      <w:r>
        <w:rPr>
          <w:rFonts w:hint="eastAsia"/>
          <w:lang w:val="en-US" w:eastAsia="zh-CN"/>
        </w:rPr>
        <w:t>办件查询</w:t>
      </w:r>
    </w:p>
    <w:p>
      <w:pPr>
        <w:spacing w:line="360" w:lineRule="auto"/>
        <w:ind w:firstLine="420"/>
        <w:rPr>
          <w:rFonts w:hint="default"/>
          <w:sz w:val="24"/>
          <w:szCs w:val="28"/>
          <w:lang w:val="en-US" w:eastAsia="zh-CN"/>
        </w:rPr>
      </w:pPr>
      <w:r>
        <w:rPr>
          <w:rFonts w:hint="eastAsia"/>
          <w:sz w:val="24"/>
          <w:szCs w:val="28"/>
          <w:lang w:val="en-US" w:eastAsia="zh-CN"/>
        </w:rPr>
        <w:t>事项审批工作人员可点击左侧【无差别受理】→【办件查询】，进入本部门所受理过的所有事项页面，根据事项名称、办件编号、申请人证件号码、申请时间等信息准确筛选到需要查询或导出的某个或多个事项点击右侧详情按钮，查看办件基本信息、办件申请材料信息、办件流程信息。（见下图）</w:t>
      </w:r>
    </w:p>
    <w:p>
      <w:r>
        <w:drawing>
          <wp:inline distT="0" distB="0" distL="114300" distR="114300">
            <wp:extent cx="5269230" cy="2360930"/>
            <wp:effectExtent l="0" t="0" r="7620" b="127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1"/>
                    <a:stretch>
                      <a:fillRect/>
                    </a:stretch>
                  </pic:blipFill>
                  <pic:spPr>
                    <a:xfrm>
                      <a:off x="0" y="0"/>
                      <a:ext cx="5269230" cy="2360930"/>
                    </a:xfrm>
                    <a:prstGeom prst="rect">
                      <a:avLst/>
                    </a:prstGeom>
                    <a:noFill/>
                    <a:ln>
                      <a:noFill/>
                    </a:ln>
                  </pic:spPr>
                </pic:pic>
              </a:graphicData>
            </a:graphic>
          </wp:inline>
        </w:drawing>
      </w:r>
    </w:p>
    <w:p>
      <w:pPr>
        <w:rPr>
          <w:rFonts w:hint="default"/>
          <w:lang w:val="en-US" w:eastAsia="zh-CN"/>
        </w:rPr>
      </w:pPr>
      <w:r>
        <w:drawing>
          <wp:inline distT="0" distB="0" distL="114300" distR="114300">
            <wp:extent cx="5271135" cy="2153920"/>
            <wp:effectExtent l="0" t="0" r="5715" b="1778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2"/>
                    <a:stretch>
                      <a:fillRect/>
                    </a:stretch>
                  </pic:blipFill>
                  <pic:spPr>
                    <a:xfrm>
                      <a:off x="0" y="0"/>
                      <a:ext cx="5271135" cy="2153920"/>
                    </a:xfrm>
                    <a:prstGeom prst="rect">
                      <a:avLst/>
                    </a:prstGeom>
                    <a:noFill/>
                    <a:ln>
                      <a:noFill/>
                    </a:ln>
                  </pic:spPr>
                </pic:pic>
              </a:graphicData>
            </a:graphic>
          </wp:inline>
        </w:drawing>
      </w:r>
    </w:p>
    <w:p>
      <w:pPr>
        <w:pStyle w:val="4"/>
        <w:numPr>
          <w:ilvl w:val="0"/>
          <w:numId w:val="4"/>
        </w:numPr>
        <w:bidi w:val="0"/>
        <w:rPr>
          <w:rFonts w:hint="default"/>
          <w:lang w:val="en-US" w:eastAsia="zh-CN"/>
        </w:rPr>
      </w:pPr>
      <w:r>
        <w:rPr>
          <w:rFonts w:hint="eastAsia"/>
          <w:lang w:val="en-US" w:eastAsia="zh-CN"/>
        </w:rPr>
        <w:t>打印通知单</w:t>
      </w:r>
    </w:p>
    <w:p>
      <w:pPr>
        <w:spacing w:line="360" w:lineRule="auto"/>
        <w:ind w:firstLine="480" w:firstLineChars="200"/>
        <w:rPr>
          <w:rFonts w:hint="eastAsia"/>
          <w:sz w:val="24"/>
          <w:szCs w:val="28"/>
          <w:lang w:val="en-US" w:eastAsia="zh-CN"/>
        </w:rPr>
      </w:pPr>
      <w:r>
        <w:rPr>
          <w:rFonts w:hint="eastAsia"/>
          <w:sz w:val="24"/>
          <w:szCs w:val="28"/>
          <w:lang w:val="en-US" w:eastAsia="zh-CN"/>
        </w:rPr>
        <w:t>事项审批工作人员可点击左侧【无差别受理】→【打印通知单】，进入本部门已受理的办件清单，点击右侧“受理”按钮进行打印或查看通知单。</w:t>
      </w:r>
    </w:p>
    <w:p>
      <w:pPr>
        <w:ind w:firstLine="420" w:firstLineChars="200"/>
        <w:rPr>
          <w:rFonts w:hint="default"/>
          <w:sz w:val="24"/>
          <w:szCs w:val="28"/>
          <w:lang w:val="en-US" w:eastAsia="zh-CN"/>
        </w:rPr>
      </w:pPr>
      <w:r>
        <w:drawing>
          <wp:inline distT="0" distB="0" distL="114300" distR="114300">
            <wp:extent cx="4912360" cy="1885315"/>
            <wp:effectExtent l="0" t="0" r="2540" b="63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3"/>
                    <a:srcRect t="15852"/>
                    <a:stretch>
                      <a:fillRect/>
                    </a:stretch>
                  </pic:blipFill>
                  <pic:spPr>
                    <a:xfrm>
                      <a:off x="0" y="0"/>
                      <a:ext cx="4912360" cy="1885315"/>
                    </a:xfrm>
                    <a:prstGeom prst="rect">
                      <a:avLst/>
                    </a:prstGeom>
                    <a:noFill/>
                    <a:ln>
                      <a:noFill/>
                    </a:ln>
                  </pic:spPr>
                </pic:pic>
              </a:graphicData>
            </a:graphic>
          </wp:inline>
        </w:drawing>
      </w:r>
    </w:p>
    <w:p>
      <w:pPr>
        <w:rPr>
          <w:rFonts w:hint="default"/>
          <w:lang w:val="en-US" w:eastAsia="zh-CN"/>
        </w:rPr>
      </w:pPr>
      <w:r>
        <w:drawing>
          <wp:inline distT="0" distB="0" distL="114300" distR="114300">
            <wp:extent cx="5264150" cy="2425065"/>
            <wp:effectExtent l="0" t="0" r="12700" b="13335"/>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4"/>
                    <a:stretch>
                      <a:fillRect/>
                    </a:stretch>
                  </pic:blipFill>
                  <pic:spPr>
                    <a:xfrm>
                      <a:off x="0" y="0"/>
                      <a:ext cx="5264150" cy="2425065"/>
                    </a:xfrm>
                    <a:prstGeom prst="rect">
                      <a:avLst/>
                    </a:prstGeom>
                    <a:noFill/>
                    <a:ln>
                      <a:noFill/>
                    </a:ln>
                  </pic:spPr>
                </pic:pic>
              </a:graphicData>
            </a:graphic>
          </wp:inline>
        </w:drawing>
      </w:r>
    </w:p>
    <w:p>
      <w:pPr>
        <w:pStyle w:val="4"/>
        <w:numPr>
          <w:ilvl w:val="0"/>
          <w:numId w:val="4"/>
        </w:numPr>
        <w:bidi w:val="0"/>
        <w:rPr>
          <w:rFonts w:hint="default"/>
          <w:lang w:val="en-US" w:eastAsia="zh-CN"/>
        </w:rPr>
      </w:pPr>
      <w:r>
        <w:rPr>
          <w:rFonts w:hint="eastAsia"/>
          <w:lang w:val="en-US" w:eastAsia="zh-CN"/>
        </w:rPr>
        <w:t>咨询查询</w:t>
      </w:r>
    </w:p>
    <w:p>
      <w:pPr>
        <w:spacing w:line="360" w:lineRule="auto"/>
        <w:ind w:firstLine="420" w:firstLineChars="200"/>
        <w:rPr>
          <w:rFonts w:hint="eastAsia"/>
          <w:sz w:val="24"/>
          <w:szCs w:val="28"/>
          <w:lang w:val="en-US" w:eastAsia="zh-CN"/>
        </w:rPr>
      </w:pPr>
      <w:r>
        <w:rPr>
          <w:rFonts w:hint="eastAsia"/>
          <w:lang w:val="en-US" w:eastAsia="zh-CN"/>
        </w:rPr>
        <w:t xml:space="preserve"> </w:t>
      </w:r>
      <w:r>
        <w:rPr>
          <w:rFonts w:hint="eastAsia"/>
          <w:sz w:val="24"/>
          <w:szCs w:val="28"/>
          <w:lang w:val="en-US" w:eastAsia="zh-CN"/>
        </w:rPr>
        <w:t>事项审批工作人员可点击左侧【无差别受理】→【咨询查询】，进入咨询办件页面可查看已申请咨询办件，点击右侧查看按钮即可查看咨询办件详情。</w:t>
      </w:r>
    </w:p>
    <w:p>
      <w:pPr>
        <w:spacing w:line="360" w:lineRule="auto"/>
        <w:rPr>
          <w:rFonts w:hint="default"/>
          <w:lang w:val="en-US" w:eastAsia="zh-CN"/>
        </w:rPr>
      </w:pPr>
      <w:r>
        <w:drawing>
          <wp:inline distT="0" distB="0" distL="114300" distR="114300">
            <wp:extent cx="5269230" cy="2148840"/>
            <wp:effectExtent l="0" t="0" r="7620" b="381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5"/>
                    <a:stretch>
                      <a:fillRect/>
                    </a:stretch>
                  </pic:blipFill>
                  <pic:spPr>
                    <a:xfrm>
                      <a:off x="0" y="0"/>
                      <a:ext cx="5269230" cy="2148840"/>
                    </a:xfrm>
                    <a:prstGeom prst="rect">
                      <a:avLst/>
                    </a:prstGeom>
                    <a:noFill/>
                    <a:ln>
                      <a:noFill/>
                    </a:ln>
                  </pic:spPr>
                </pic:pic>
              </a:graphicData>
            </a:graphic>
          </wp:inline>
        </w:drawing>
      </w:r>
      <w:r>
        <w:rPr>
          <w:rFonts w:hint="eastAsia"/>
          <w:lang w:val="en-US" w:eastAsia="zh-CN"/>
        </w:rPr>
        <w:t xml:space="preserve">         </w:t>
      </w:r>
    </w:p>
    <w:p>
      <w:pPr>
        <w:pStyle w:val="4"/>
        <w:numPr>
          <w:ilvl w:val="0"/>
          <w:numId w:val="4"/>
        </w:numPr>
        <w:bidi w:val="0"/>
      </w:pPr>
      <w:r>
        <w:rPr>
          <w:rFonts w:hint="eastAsia"/>
          <w:lang w:val="en-US" w:eastAsia="zh-CN"/>
        </w:rPr>
        <w:t>咨询统计</w:t>
      </w:r>
    </w:p>
    <w:p>
      <w:pPr>
        <w:spacing w:line="360" w:lineRule="auto"/>
        <w:rPr>
          <w:rFonts w:hint="default"/>
          <w:lang w:val="en-US"/>
        </w:rPr>
      </w:pPr>
      <w:r>
        <w:rPr>
          <w:rFonts w:hint="eastAsia"/>
          <w:lang w:val="en-US" w:eastAsia="zh-CN"/>
        </w:rPr>
        <w:t xml:space="preserve">    </w:t>
      </w:r>
      <w:r>
        <w:rPr>
          <w:rFonts w:hint="eastAsia"/>
          <w:sz w:val="24"/>
          <w:szCs w:val="28"/>
          <w:lang w:val="en-US" w:eastAsia="zh-CN"/>
        </w:rPr>
        <w:t>事项审批工作人员可点击左侧【无差别受理】→【咨询统计】，进入咨询统计页面可查看已申请咨询办件统计 。</w:t>
      </w: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numPr>
          <w:ilvl w:val="0"/>
          <w:numId w:val="0"/>
        </w:numPr>
        <w:spacing w:line="360" w:lineRule="auto"/>
      </w:pPr>
      <w:r>
        <w:drawing>
          <wp:inline distT="0" distB="0" distL="114300" distR="114300">
            <wp:extent cx="5272405" cy="1694180"/>
            <wp:effectExtent l="0" t="0" r="4445" b="127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26"/>
                    <a:stretch>
                      <a:fillRect/>
                    </a:stretch>
                  </pic:blipFill>
                  <pic:spPr>
                    <a:xfrm>
                      <a:off x="0" y="0"/>
                      <a:ext cx="5272405" cy="1694180"/>
                    </a:xfrm>
                    <a:prstGeom prst="rect">
                      <a:avLst/>
                    </a:prstGeom>
                    <a:noFill/>
                    <a:ln>
                      <a:noFill/>
                    </a:ln>
                  </pic:spPr>
                </pic:pic>
              </a:graphicData>
            </a:graphic>
          </wp:inline>
        </w:drawing>
      </w:r>
    </w:p>
    <w:p>
      <w:pPr>
        <w:pStyle w:val="4"/>
        <w:numPr>
          <w:ilvl w:val="0"/>
          <w:numId w:val="4"/>
        </w:numPr>
        <w:bidi w:val="0"/>
        <w:ind w:left="0" w:leftChars="0" w:firstLine="0" w:firstLineChars="0"/>
        <w:rPr>
          <w:rFonts w:hint="eastAsia"/>
          <w:lang w:val="en-US" w:eastAsia="zh-CN"/>
        </w:rPr>
      </w:pPr>
      <w:r>
        <w:rPr>
          <w:rFonts w:hint="eastAsia"/>
          <w:lang w:val="en-US" w:eastAsia="zh-CN"/>
        </w:rPr>
        <w:t>物流信息查询</w:t>
      </w:r>
    </w:p>
    <w:p>
      <w:pPr>
        <w:numPr>
          <w:ilvl w:val="0"/>
          <w:numId w:val="0"/>
        </w:numPr>
        <w:spacing w:line="360" w:lineRule="auto"/>
        <w:ind w:leftChars="0"/>
        <w:rPr>
          <w:rFonts w:hint="eastAsia"/>
          <w:sz w:val="24"/>
          <w:szCs w:val="28"/>
          <w:lang w:val="en-US" w:eastAsia="zh-CN"/>
        </w:rPr>
      </w:pPr>
      <w:r>
        <w:rPr>
          <w:rFonts w:hint="eastAsia"/>
          <w:lang w:val="en-US" w:eastAsia="zh-CN"/>
        </w:rPr>
        <w:t xml:space="preserve">      </w:t>
      </w:r>
      <w:r>
        <w:rPr>
          <w:rFonts w:hint="eastAsia"/>
          <w:sz w:val="24"/>
          <w:szCs w:val="28"/>
          <w:lang w:val="en-US" w:eastAsia="zh-CN"/>
        </w:rPr>
        <w:t>事项审批工作人员可点击左侧【无差别受理】→【物流信息查询】，进入物流信息查询页面企业或群众在申请某事项的过程中，结果送达方式如选择为“物流”的办件清单。</w:t>
      </w:r>
    </w:p>
    <w:p>
      <w:pPr>
        <w:numPr>
          <w:ilvl w:val="0"/>
          <w:numId w:val="0"/>
        </w:numPr>
        <w:spacing w:line="360" w:lineRule="auto"/>
        <w:ind w:leftChars="0"/>
      </w:pPr>
      <w:r>
        <w:drawing>
          <wp:inline distT="0" distB="0" distL="114300" distR="114300">
            <wp:extent cx="5269230" cy="1809115"/>
            <wp:effectExtent l="0" t="0" r="7620" b="63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7"/>
                    <a:stretch>
                      <a:fillRect/>
                    </a:stretch>
                  </pic:blipFill>
                  <pic:spPr>
                    <a:xfrm>
                      <a:off x="0" y="0"/>
                      <a:ext cx="5269230" cy="1809115"/>
                    </a:xfrm>
                    <a:prstGeom prst="rect">
                      <a:avLst/>
                    </a:prstGeom>
                    <a:noFill/>
                    <a:ln>
                      <a:noFill/>
                    </a:ln>
                  </pic:spPr>
                </pic:pic>
              </a:graphicData>
            </a:graphic>
          </wp:inline>
        </w:drawing>
      </w:r>
    </w:p>
    <w:p>
      <w:pPr>
        <w:pStyle w:val="2"/>
        <w:numPr>
          <w:ilvl w:val="0"/>
          <w:numId w:val="0"/>
        </w:numPr>
        <w:bidi w:val="0"/>
        <w:ind w:leftChars="0"/>
        <w:rPr>
          <w:rFonts w:hint="eastAsia"/>
          <w:lang w:val="en-US" w:eastAsia="zh-CN"/>
        </w:rPr>
      </w:pPr>
      <w:r>
        <w:rPr>
          <w:rFonts w:hint="eastAsia"/>
          <w:lang w:val="en-US" w:eastAsia="zh-CN"/>
        </w:rPr>
        <w:t>三、统计分析</w:t>
      </w:r>
    </w:p>
    <w:p>
      <w:pPr>
        <w:pStyle w:val="4"/>
        <w:bidi w:val="0"/>
        <w:rPr>
          <w:rFonts w:hint="default"/>
          <w:lang w:val="en-US" w:eastAsia="zh-CN"/>
        </w:rPr>
      </w:pPr>
      <w:r>
        <w:rPr>
          <w:rFonts w:hint="eastAsia"/>
          <w:lang w:val="en-US" w:eastAsia="zh-CN"/>
        </w:rPr>
        <w:t xml:space="preserve"> 一、部门办件统计</w:t>
      </w:r>
    </w:p>
    <w:p>
      <w:pPr>
        <w:spacing w:line="360" w:lineRule="auto"/>
        <w:ind w:firstLine="480" w:firstLineChars="200"/>
        <w:rPr>
          <w:rFonts w:hint="eastAsia"/>
          <w:lang w:val="en-US" w:eastAsia="zh-CN"/>
        </w:rPr>
      </w:pPr>
      <w:r>
        <w:rPr>
          <w:rFonts w:hint="eastAsia"/>
          <w:sz w:val="24"/>
          <w:szCs w:val="28"/>
          <w:lang w:val="en-US" w:eastAsia="zh-CN"/>
        </w:rPr>
        <w:t>事项审批工作人员可点击左侧【统计分析】→【部门办件统计】，进入统计页面可按照年、月、周、日不同周期查看或导出本部门已受理的办件数量。</w:t>
      </w:r>
    </w:p>
    <w:p>
      <w:pPr>
        <w:rPr>
          <w:rFonts w:hint="default"/>
          <w:lang w:val="en-US" w:eastAsia="zh-CN"/>
        </w:rPr>
      </w:pPr>
      <w:r>
        <w:rPr>
          <w:rFonts w:hint="eastAsia"/>
          <w:lang w:val="en-US" w:eastAsia="zh-CN"/>
        </w:rPr>
        <w:t xml:space="preserve">      </w:t>
      </w:r>
      <w:r>
        <w:drawing>
          <wp:inline distT="0" distB="0" distL="114300" distR="114300">
            <wp:extent cx="4594860" cy="1645285"/>
            <wp:effectExtent l="0" t="0" r="15240" b="12065"/>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28"/>
                    <a:stretch>
                      <a:fillRect/>
                    </a:stretch>
                  </pic:blipFill>
                  <pic:spPr>
                    <a:xfrm>
                      <a:off x="0" y="0"/>
                      <a:ext cx="4594860" cy="1645285"/>
                    </a:xfrm>
                    <a:prstGeom prst="rect">
                      <a:avLst/>
                    </a:prstGeom>
                    <a:noFill/>
                    <a:ln>
                      <a:noFill/>
                    </a:ln>
                  </pic:spPr>
                </pic:pic>
              </a:graphicData>
            </a:graphic>
          </wp:inline>
        </w:drawing>
      </w: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pict>
        <v:shape id="_x0000_s3097" o:spid="_x0000_s309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1"/>
      </w:rPr>
      <w:pict>
        <v:shape id="_x0000_s3098" o:spid="_x0000_s3098"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pict>
        <v:shape id="_x0000_s3095" o:spid="_x0000_s309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pict>
        <v:shape id="_x0000_s3096" o:spid="_x0000_s309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BB47C9"/>
    <w:multiLevelType w:val="singleLevel"/>
    <w:tmpl w:val="F9BB47C9"/>
    <w:lvl w:ilvl="0" w:tentative="0">
      <w:start w:val="1"/>
      <w:numFmt w:val="chineseCounting"/>
      <w:suff w:val="space"/>
      <w:lvlText w:val="第%1章"/>
      <w:lvlJc w:val="left"/>
      <w:rPr>
        <w:rFonts w:hint="eastAsia"/>
      </w:rPr>
    </w:lvl>
  </w:abstractNum>
  <w:abstractNum w:abstractNumId="1">
    <w:nsid w:val="5F6D3199"/>
    <w:multiLevelType w:val="multilevel"/>
    <w:tmpl w:val="5F6D3199"/>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68F263FD"/>
    <w:multiLevelType w:val="multilevel"/>
    <w:tmpl w:val="68F263FD"/>
    <w:lvl w:ilvl="0" w:tentative="0">
      <w:start w:val="1"/>
      <w:numFmt w:val="japaneseCounting"/>
      <w:lvlText w:val="%1、"/>
      <w:lvlJc w:val="left"/>
      <w:pPr>
        <w:ind w:left="912" w:hanging="91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A174B51"/>
    <w:multiLevelType w:val="singleLevel"/>
    <w:tmpl w:val="7A174B51"/>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1041B"/>
    <w:rsid w:val="0001041B"/>
    <w:rsid w:val="0001195C"/>
    <w:rsid w:val="00014B6F"/>
    <w:rsid w:val="00024E31"/>
    <w:rsid w:val="00052DB8"/>
    <w:rsid w:val="00062EFF"/>
    <w:rsid w:val="000761B7"/>
    <w:rsid w:val="00083D60"/>
    <w:rsid w:val="00086C81"/>
    <w:rsid w:val="000C6903"/>
    <w:rsid w:val="00105181"/>
    <w:rsid w:val="00105F00"/>
    <w:rsid w:val="001571E8"/>
    <w:rsid w:val="00163BF4"/>
    <w:rsid w:val="00176DD4"/>
    <w:rsid w:val="00182215"/>
    <w:rsid w:val="001852B4"/>
    <w:rsid w:val="001931F6"/>
    <w:rsid w:val="00193DD9"/>
    <w:rsid w:val="001B3D4A"/>
    <w:rsid w:val="001E7CD3"/>
    <w:rsid w:val="00215A05"/>
    <w:rsid w:val="00227ED3"/>
    <w:rsid w:val="00255D70"/>
    <w:rsid w:val="0025772D"/>
    <w:rsid w:val="002636E8"/>
    <w:rsid w:val="00265272"/>
    <w:rsid w:val="002D02AE"/>
    <w:rsid w:val="003238A7"/>
    <w:rsid w:val="0032511B"/>
    <w:rsid w:val="00340B1D"/>
    <w:rsid w:val="003518BD"/>
    <w:rsid w:val="003C79BF"/>
    <w:rsid w:val="003E185F"/>
    <w:rsid w:val="00400780"/>
    <w:rsid w:val="0040177D"/>
    <w:rsid w:val="00404A6A"/>
    <w:rsid w:val="004406CF"/>
    <w:rsid w:val="00440DF4"/>
    <w:rsid w:val="00456467"/>
    <w:rsid w:val="00462C2D"/>
    <w:rsid w:val="004A6F8E"/>
    <w:rsid w:val="004B36EA"/>
    <w:rsid w:val="004B62D1"/>
    <w:rsid w:val="004B761A"/>
    <w:rsid w:val="00526A87"/>
    <w:rsid w:val="005564FE"/>
    <w:rsid w:val="00567C89"/>
    <w:rsid w:val="00576A92"/>
    <w:rsid w:val="00577FEA"/>
    <w:rsid w:val="0059579B"/>
    <w:rsid w:val="005B1F43"/>
    <w:rsid w:val="005B55BB"/>
    <w:rsid w:val="005D41C9"/>
    <w:rsid w:val="005E4E02"/>
    <w:rsid w:val="006056DF"/>
    <w:rsid w:val="006423D7"/>
    <w:rsid w:val="00670AC2"/>
    <w:rsid w:val="006A1B2E"/>
    <w:rsid w:val="006A5066"/>
    <w:rsid w:val="006C5327"/>
    <w:rsid w:val="006D2FC7"/>
    <w:rsid w:val="00703A8A"/>
    <w:rsid w:val="00734A79"/>
    <w:rsid w:val="00743500"/>
    <w:rsid w:val="0074466E"/>
    <w:rsid w:val="007465AA"/>
    <w:rsid w:val="007634E2"/>
    <w:rsid w:val="00767041"/>
    <w:rsid w:val="0077669F"/>
    <w:rsid w:val="00776FD8"/>
    <w:rsid w:val="007B0A0F"/>
    <w:rsid w:val="007B2D55"/>
    <w:rsid w:val="007B5D7B"/>
    <w:rsid w:val="007C1385"/>
    <w:rsid w:val="007C6DE1"/>
    <w:rsid w:val="007D6B2A"/>
    <w:rsid w:val="007F121D"/>
    <w:rsid w:val="008079BB"/>
    <w:rsid w:val="00863432"/>
    <w:rsid w:val="00883334"/>
    <w:rsid w:val="008A1089"/>
    <w:rsid w:val="008B7710"/>
    <w:rsid w:val="008C4EF8"/>
    <w:rsid w:val="008C5A04"/>
    <w:rsid w:val="008E216F"/>
    <w:rsid w:val="008F67EB"/>
    <w:rsid w:val="00923F29"/>
    <w:rsid w:val="00942307"/>
    <w:rsid w:val="009527E1"/>
    <w:rsid w:val="00974A89"/>
    <w:rsid w:val="00993E18"/>
    <w:rsid w:val="009A0066"/>
    <w:rsid w:val="009A5B27"/>
    <w:rsid w:val="009B61BE"/>
    <w:rsid w:val="009C78C5"/>
    <w:rsid w:val="009F2CEB"/>
    <w:rsid w:val="00A02913"/>
    <w:rsid w:val="00A15E74"/>
    <w:rsid w:val="00A66151"/>
    <w:rsid w:val="00A83E0B"/>
    <w:rsid w:val="00AC3200"/>
    <w:rsid w:val="00AE406A"/>
    <w:rsid w:val="00AE7448"/>
    <w:rsid w:val="00AE787A"/>
    <w:rsid w:val="00B0094C"/>
    <w:rsid w:val="00B24F3D"/>
    <w:rsid w:val="00B32B4F"/>
    <w:rsid w:val="00B81D81"/>
    <w:rsid w:val="00BB6C15"/>
    <w:rsid w:val="00BD411D"/>
    <w:rsid w:val="00BD5A32"/>
    <w:rsid w:val="00BE4B18"/>
    <w:rsid w:val="00C02BBB"/>
    <w:rsid w:val="00C30904"/>
    <w:rsid w:val="00C3651B"/>
    <w:rsid w:val="00C547F5"/>
    <w:rsid w:val="00C61CE9"/>
    <w:rsid w:val="00C62C0D"/>
    <w:rsid w:val="00C67F13"/>
    <w:rsid w:val="00C760A4"/>
    <w:rsid w:val="00CC0783"/>
    <w:rsid w:val="00CE7BDD"/>
    <w:rsid w:val="00CF4CF0"/>
    <w:rsid w:val="00D106EF"/>
    <w:rsid w:val="00D25081"/>
    <w:rsid w:val="00D356E4"/>
    <w:rsid w:val="00D57EE6"/>
    <w:rsid w:val="00D679AE"/>
    <w:rsid w:val="00D81997"/>
    <w:rsid w:val="00D90150"/>
    <w:rsid w:val="00DC6A61"/>
    <w:rsid w:val="00DF4EEA"/>
    <w:rsid w:val="00E11798"/>
    <w:rsid w:val="00E16A4C"/>
    <w:rsid w:val="00E61211"/>
    <w:rsid w:val="00E74ECA"/>
    <w:rsid w:val="00E9372E"/>
    <w:rsid w:val="00EC1544"/>
    <w:rsid w:val="00EC2756"/>
    <w:rsid w:val="00ED46B0"/>
    <w:rsid w:val="00FE05EC"/>
    <w:rsid w:val="00FE514E"/>
    <w:rsid w:val="035121E3"/>
    <w:rsid w:val="07523287"/>
    <w:rsid w:val="0A382C7D"/>
    <w:rsid w:val="137E6080"/>
    <w:rsid w:val="159B3799"/>
    <w:rsid w:val="16B322AD"/>
    <w:rsid w:val="17F46F69"/>
    <w:rsid w:val="1A5F730D"/>
    <w:rsid w:val="1A9844F1"/>
    <w:rsid w:val="1B2C070C"/>
    <w:rsid w:val="1B35592D"/>
    <w:rsid w:val="1BAD2978"/>
    <w:rsid w:val="1C3F79D4"/>
    <w:rsid w:val="1CCD2D4D"/>
    <w:rsid w:val="208B23A5"/>
    <w:rsid w:val="286D08BC"/>
    <w:rsid w:val="289575CD"/>
    <w:rsid w:val="2D8B2B1E"/>
    <w:rsid w:val="2EE545C8"/>
    <w:rsid w:val="2EFB13E2"/>
    <w:rsid w:val="30DF140E"/>
    <w:rsid w:val="334052E7"/>
    <w:rsid w:val="36130824"/>
    <w:rsid w:val="36AC08FF"/>
    <w:rsid w:val="38C36E26"/>
    <w:rsid w:val="39D83719"/>
    <w:rsid w:val="3D714F99"/>
    <w:rsid w:val="3FEA5384"/>
    <w:rsid w:val="42235D4C"/>
    <w:rsid w:val="4336304E"/>
    <w:rsid w:val="457F5D30"/>
    <w:rsid w:val="467321B7"/>
    <w:rsid w:val="472068A0"/>
    <w:rsid w:val="476E19BE"/>
    <w:rsid w:val="479A5BF8"/>
    <w:rsid w:val="4A0E5D25"/>
    <w:rsid w:val="4BF85034"/>
    <w:rsid w:val="4C436149"/>
    <w:rsid w:val="4CD224AC"/>
    <w:rsid w:val="4D473D2A"/>
    <w:rsid w:val="502F469C"/>
    <w:rsid w:val="51475690"/>
    <w:rsid w:val="51524AEF"/>
    <w:rsid w:val="5ABD1FCC"/>
    <w:rsid w:val="5F15654A"/>
    <w:rsid w:val="60F5418C"/>
    <w:rsid w:val="62013C3B"/>
    <w:rsid w:val="65F224FC"/>
    <w:rsid w:val="66A47E21"/>
    <w:rsid w:val="68985177"/>
    <w:rsid w:val="6A291CD4"/>
    <w:rsid w:val="6B5F10D5"/>
    <w:rsid w:val="6EE21F2E"/>
    <w:rsid w:val="700C48D5"/>
    <w:rsid w:val="70215FDD"/>
    <w:rsid w:val="73C02530"/>
    <w:rsid w:val="7A176711"/>
    <w:rsid w:val="7F3B0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21"/>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Hyperlink"/>
    <w:basedOn w:val="14"/>
    <w:unhideWhenUsed/>
    <w:qFormat/>
    <w:uiPriority w:val="99"/>
    <w:rPr>
      <w:color w:val="0000FF" w:themeColor="hyperlink"/>
      <w:u w:val="single"/>
    </w:rPr>
  </w:style>
  <w:style w:type="character" w:customStyle="1" w:styleId="17">
    <w:name w:val="页眉 字符"/>
    <w:basedOn w:val="14"/>
    <w:link w:val="9"/>
    <w:qFormat/>
    <w:uiPriority w:val="99"/>
    <w:rPr>
      <w:sz w:val="18"/>
      <w:szCs w:val="18"/>
    </w:rPr>
  </w:style>
  <w:style w:type="character" w:customStyle="1" w:styleId="18">
    <w:name w:val="页脚 字符"/>
    <w:basedOn w:val="14"/>
    <w:link w:val="8"/>
    <w:qFormat/>
    <w:uiPriority w:val="99"/>
    <w:rPr>
      <w:sz w:val="18"/>
      <w:szCs w:val="18"/>
    </w:rPr>
  </w:style>
  <w:style w:type="character" w:customStyle="1" w:styleId="19">
    <w:name w:val="标题 1 字符"/>
    <w:basedOn w:val="14"/>
    <w:link w:val="2"/>
    <w:qFormat/>
    <w:uiPriority w:val="9"/>
    <w:rPr>
      <w:b/>
      <w:bCs/>
      <w:kern w:val="44"/>
      <w:sz w:val="44"/>
      <w:szCs w:val="44"/>
    </w:rPr>
  </w:style>
  <w:style w:type="character" w:customStyle="1" w:styleId="20">
    <w:name w:val="标题 2 字符"/>
    <w:basedOn w:val="14"/>
    <w:link w:val="3"/>
    <w:qFormat/>
    <w:uiPriority w:val="9"/>
    <w:rPr>
      <w:rFonts w:asciiTheme="majorHAnsi" w:hAnsiTheme="majorHAnsi" w:eastAsiaTheme="majorEastAsia" w:cstheme="majorBidi"/>
      <w:b/>
      <w:bCs/>
      <w:sz w:val="32"/>
      <w:szCs w:val="32"/>
    </w:rPr>
  </w:style>
  <w:style w:type="character" w:customStyle="1" w:styleId="21">
    <w:name w:val="批注框文本 字符"/>
    <w:basedOn w:val="14"/>
    <w:link w:val="7"/>
    <w:semiHidden/>
    <w:qFormat/>
    <w:uiPriority w:val="99"/>
    <w:rPr>
      <w:sz w:val="18"/>
      <w:szCs w:val="18"/>
    </w:rPr>
  </w:style>
  <w:style w:type="character" w:customStyle="1" w:styleId="22">
    <w:name w:val="标题 3 字符"/>
    <w:basedOn w:val="14"/>
    <w:link w:val="4"/>
    <w:qFormat/>
    <w:uiPriority w:val="9"/>
    <w:rPr>
      <w:b/>
      <w:bCs/>
      <w:sz w:val="32"/>
      <w:szCs w:val="32"/>
    </w:rPr>
  </w:style>
  <w:style w:type="paragraph" w:styleId="23">
    <w:name w:val="List Paragraph"/>
    <w:basedOn w:val="1"/>
    <w:qFormat/>
    <w:uiPriority w:val="34"/>
    <w:pPr>
      <w:ind w:firstLine="420" w:firstLineChars="200"/>
    </w:pPr>
  </w:style>
  <w:style w:type="paragraph" w:customStyle="1" w:styleId="24">
    <w:name w:val="TOC 标题1"/>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97"/>
    <customShpInfo spid="_x0000_s3098"/>
    <customShpInfo spid="_x0000_s3095"/>
    <customShpInfo spid="_x0000_s309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666339-E4C0-4925-8FE2-F9058A800D6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479</Words>
  <Characters>2731</Characters>
  <Lines>22</Lines>
  <Paragraphs>6</Paragraphs>
  <TotalTime>258</TotalTime>
  <ScaleCrop>false</ScaleCrop>
  <LinksUpToDate>false</LinksUpToDate>
  <CharactersWithSpaces>3204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2016-10-18T03:06:00Z</dcterms:created>
  <dc:creator>杨洋</dc:creator>
  <cp:lastModifiedBy>Mr.xu</cp:lastModifiedBy>
  <dcterms:modified xsi:type="dcterms:W3CDTF">2022-03-18T07:40:41Z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E7EF74BCE633483091DF49E50840F768</vt:lpwstr>
  </property>
</Properties>
</file>