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ascii="微软雅黑" w:hAnsi="微软雅黑" w:eastAsia="微软雅黑"/>
          <w:sz w:val="24"/>
        </w:rPr>
      </w:pPr>
    </w:p>
    <w:p>
      <w:pPr>
        <w:ind w:firstLine="480"/>
        <w:jc w:val="center"/>
        <w:rPr>
          <w:rFonts w:ascii="微软雅黑" w:hAnsi="微软雅黑" w:eastAsia="微软雅黑"/>
          <w:sz w:val="24"/>
        </w:rPr>
      </w:pPr>
    </w:p>
    <w:p>
      <w:pPr>
        <w:ind w:firstLine="480"/>
        <w:jc w:val="center"/>
        <w:rPr>
          <w:rFonts w:hint="default" w:ascii="微软雅黑" w:hAnsi="微软雅黑" w:eastAsia="微软雅黑"/>
          <w:b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庆阳市数字政府建设项目</w:t>
      </w:r>
    </w:p>
    <w:p>
      <w:pPr>
        <w:ind w:firstLine="480"/>
        <w:jc w:val="center"/>
        <w:rPr>
          <w:rFonts w:hint="default" w:ascii="微软雅黑" w:hAnsi="微软雅黑" w:eastAsia="微软雅黑"/>
          <w:b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  <w:t>行政审批系统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72"/>
          <w:szCs w:val="52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z w:val="72"/>
          <w:szCs w:val="52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56"/>
          <w:szCs w:val="48"/>
        </w:rPr>
      </w:pPr>
      <w:r>
        <w:rPr>
          <w:rFonts w:hint="eastAsia" w:ascii="微软雅黑" w:hAnsi="微软雅黑" w:eastAsia="微软雅黑"/>
          <w:b/>
          <w:bCs/>
          <w:sz w:val="56"/>
          <w:szCs w:val="4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sz w:val="56"/>
          <w:szCs w:val="48"/>
        </w:rPr>
        <w:t>操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56"/>
          <w:szCs w:val="48"/>
        </w:rPr>
      </w:pPr>
      <w:r>
        <w:rPr>
          <w:rFonts w:hint="eastAsia" w:ascii="微软雅黑" w:hAnsi="微软雅黑" w:eastAsia="微软雅黑"/>
          <w:b/>
          <w:bCs/>
          <w:sz w:val="56"/>
          <w:szCs w:val="4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sz w:val="56"/>
          <w:szCs w:val="48"/>
        </w:rPr>
        <w:t>作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z w:val="56"/>
          <w:szCs w:val="48"/>
        </w:rPr>
      </w:pPr>
      <w:r>
        <w:rPr>
          <w:rFonts w:hint="eastAsia" w:ascii="微软雅黑" w:hAnsi="微软雅黑" w:eastAsia="微软雅黑"/>
          <w:b/>
          <w:bCs/>
          <w:sz w:val="56"/>
          <w:szCs w:val="4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sz w:val="56"/>
          <w:szCs w:val="48"/>
        </w:rPr>
        <w:t>手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56"/>
          <w:szCs w:val="48"/>
        </w:rPr>
      </w:pPr>
      <w:r>
        <w:rPr>
          <w:rFonts w:hint="eastAsia" w:ascii="微软雅黑" w:hAnsi="微软雅黑" w:eastAsia="微软雅黑"/>
          <w:b/>
          <w:bCs/>
          <w:sz w:val="56"/>
          <w:szCs w:val="4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sz w:val="56"/>
          <w:szCs w:val="48"/>
        </w:rPr>
        <w:t>册</w:t>
      </w:r>
    </w:p>
    <w:p>
      <w:pPr>
        <w:spacing w:line="360" w:lineRule="auto"/>
        <w:ind w:firstLine="480"/>
        <w:jc w:val="center"/>
        <w:rPr>
          <w:rFonts w:ascii="微软雅黑" w:hAnsi="微软雅黑" w:eastAsia="微软雅黑"/>
          <w:sz w:val="28"/>
        </w:rPr>
      </w:pPr>
    </w:p>
    <w:p>
      <w:pPr>
        <w:ind w:firstLine="480"/>
        <w:jc w:val="center"/>
        <w:rPr>
          <w:rFonts w:ascii="微软雅黑" w:hAnsi="微软雅黑" w:eastAsia="微软雅黑"/>
          <w:sz w:val="28"/>
        </w:rPr>
      </w:pPr>
    </w:p>
    <w:p>
      <w:pPr>
        <w:ind w:firstLine="480"/>
        <w:jc w:val="center"/>
        <w:rPr>
          <w:rFonts w:ascii="微软雅黑" w:hAnsi="微软雅黑" w:eastAsia="微软雅黑"/>
          <w:sz w:val="28"/>
        </w:rPr>
      </w:pPr>
    </w:p>
    <w:p>
      <w:pPr>
        <w:ind w:firstLine="3213" w:firstLineChars="1000"/>
        <w:rPr>
          <w:rFonts w:hint="eastAsia" w:ascii="黑体" w:hAnsi="黑体" w:eastAsia="黑体" w:cs="黑体"/>
          <w:b/>
          <w:sz w:val="32"/>
          <w:szCs w:val="30"/>
        </w:rPr>
      </w:pPr>
    </w:p>
    <w:p>
      <w:pPr>
        <w:ind w:firstLine="3213" w:firstLineChars="1000"/>
        <w:rPr>
          <w:rFonts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</w:rPr>
        <w:t>20</w:t>
      </w:r>
      <w:r>
        <w:rPr>
          <w:rFonts w:hint="eastAsia" w:ascii="黑体" w:hAnsi="黑体" w:eastAsia="黑体" w:cs="黑体"/>
          <w:b/>
          <w:sz w:val="32"/>
          <w:szCs w:val="30"/>
          <w:lang w:val="en-US" w:eastAsia="zh-CN"/>
        </w:rPr>
        <w:t>22</w:t>
      </w:r>
      <w:r>
        <w:rPr>
          <w:rFonts w:hint="eastAsia" w:ascii="黑体" w:hAnsi="黑体" w:eastAsia="黑体" w:cs="黑体"/>
          <w:b/>
          <w:sz w:val="32"/>
          <w:szCs w:val="30"/>
        </w:rPr>
        <w:t>年</w:t>
      </w:r>
      <w:r>
        <w:rPr>
          <w:rFonts w:hint="eastAsia" w:ascii="黑体" w:hAnsi="黑体" w:eastAsia="黑体" w:cs="黑体"/>
          <w:b/>
          <w:sz w:val="32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0"/>
        </w:rPr>
        <w:t>月</w:t>
      </w:r>
    </w:p>
    <w:p>
      <w:p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pStyle w:val="2"/>
        <w:numPr>
          <w:ilvl w:val="0"/>
          <w:numId w:val="2"/>
        </w:numPr>
        <w:bidi w:val="0"/>
        <w:ind w:leftChars="0"/>
        <w:rPr>
          <w:rFonts w:hint="eastAsia"/>
        </w:rPr>
      </w:pPr>
      <w:bookmarkStart w:id="0" w:name="_Toc13457"/>
      <w:r>
        <w:rPr>
          <w:rFonts w:hint="eastAsia"/>
        </w:rPr>
        <w:t>系统登录及主界面</w:t>
      </w:r>
      <w:bookmarkEnd w:id="0"/>
    </w:p>
    <w:p>
      <w:pPr>
        <w:spacing w:line="360" w:lineRule="auto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窗口工作人员在浏览器中输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【http://59.219.204.45:10034/wel/index】</w:t>
      </w:r>
      <w:r>
        <w:rPr>
          <w:rFonts w:hint="eastAsia" w:asciiTheme="minorEastAsia" w:hAnsiTheme="minorEastAsia" w:cstheme="minorEastAsia"/>
          <w:sz w:val="24"/>
          <w:szCs w:val="24"/>
        </w:rPr>
        <w:t>即可打开系统的登录界面，界面如下图所示：</w:t>
      </w:r>
      <w:bookmarkStart w:id="2" w:name="_GoBack"/>
      <w:bookmarkEnd w:id="2"/>
    </w:p>
    <w:p>
      <w:pPr>
        <w:spacing w:line="360" w:lineRule="auto"/>
        <w:jc w:val="left"/>
        <w:rPr>
          <w:rFonts w:hint="eastAsia" w:asciiTheme="minorEastAsia" w:hAnsiTheme="minorEastAsia" w:cstheme="minorEastAsia"/>
          <w:sz w:val="24"/>
          <w:szCs w:val="24"/>
        </w:rPr>
      </w:pPr>
      <w:r>
        <w:drawing>
          <wp:inline distT="0" distB="0" distL="114300" distR="114300">
            <wp:extent cx="5265420" cy="2418715"/>
            <wp:effectExtent l="0" t="0" r="11430" b="63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ind w:firstLine="420"/>
        <w:rPr>
          <w:rFonts w:hint="default" w:ascii="宋体" w:hAnsi="宋体"/>
          <w:kern w:val="0"/>
          <w:szCs w:val="21"/>
          <w:lang w:val="en-US"/>
        </w:rPr>
      </w:pPr>
      <w:r>
        <w:rPr>
          <w:rFonts w:hint="eastAsia" w:ascii="宋体" w:hAnsi="宋体"/>
          <w:kern w:val="0"/>
          <w:sz w:val="24"/>
          <w:szCs w:val="24"/>
        </w:rPr>
        <w:t>输入登录名和密码后（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业务部门事项审批人员账号密码</w:t>
      </w:r>
      <w:r>
        <w:rPr>
          <w:rFonts w:hint="eastAsia" w:ascii="宋体" w:hAnsi="宋体"/>
          <w:kern w:val="0"/>
          <w:sz w:val="24"/>
          <w:szCs w:val="24"/>
        </w:rPr>
        <w:t>），单击“立即登录”即可进入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甘肃省政务服务能力平台（见下图）</w:t>
      </w:r>
    </w:p>
    <w:p>
      <w:r>
        <w:drawing>
          <wp:inline distT="0" distB="0" distL="114300" distR="114300">
            <wp:extent cx="5269230" cy="2339975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-157" t="-3585" r="157" b="714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bidi w:val="0"/>
        <w:ind w:leftChars="0"/>
      </w:pPr>
      <w:r>
        <w:rPr>
          <w:rFonts w:hint="eastAsia"/>
          <w:lang w:val="en-US" w:eastAsia="zh-CN"/>
        </w:rPr>
        <w:t>业务流程图</w:t>
      </w:r>
    </w:p>
    <w:p>
      <w:pPr>
        <w:pStyle w:val="2"/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00120" cy="5358765"/>
            <wp:effectExtent l="0" t="0" r="5080" b="13335"/>
            <wp:docPr id="20" name="图片 20" descr="业务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业务流程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</w:pPr>
      <w:bookmarkStart w:id="1" w:name="_Toc11376"/>
      <w:r>
        <w:rPr>
          <w:rFonts w:hint="eastAsia"/>
          <w:lang w:val="en-US" w:eastAsia="zh-CN"/>
        </w:rPr>
        <w:t>三、</w:t>
      </w:r>
      <w:r>
        <w:rPr>
          <w:rFonts w:hint="eastAsia"/>
        </w:rPr>
        <w:t>系统模块功能介绍</w:t>
      </w:r>
      <w:bookmarkEnd w:id="1"/>
    </w:p>
    <w:p>
      <w:pPr>
        <w:pStyle w:val="3"/>
        <w:numPr>
          <w:ilvl w:val="1"/>
          <w:numId w:val="0"/>
        </w:numPr>
        <w:bidi w:val="0"/>
      </w:pPr>
      <w:r>
        <w:rPr>
          <w:rFonts w:hint="eastAsia"/>
          <w:lang w:val="en-US" w:eastAsia="zh-CN"/>
        </w:rPr>
        <w:t>第一章 业务处理</w:t>
      </w:r>
    </w:p>
    <w:p>
      <w:pPr>
        <w:pStyle w:val="4"/>
        <w:numPr>
          <w:ilvl w:val="0"/>
          <w:numId w:val="4"/>
        </w:numPr>
      </w:pPr>
      <w:r>
        <w:rPr>
          <w:rFonts w:hint="eastAsia"/>
          <w:lang w:val="en-US" w:eastAsia="zh-CN"/>
        </w:rPr>
        <w:t>待办业务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部门负责事项审批的人员可点击左侧【业务处理】→【待办业务】，审批当前待审批事项，点击右侧“流转”按钮，进入事项详细页面；</w:t>
      </w:r>
    </w:p>
    <w:p>
      <w:r>
        <w:drawing>
          <wp:inline distT="0" distB="0" distL="114300" distR="114300">
            <wp:extent cx="5269230" cy="2179320"/>
            <wp:effectExtent l="0" t="0" r="762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此处可看到申报事项的基本信息、材料信息、流转信息，用户可以根据实际情况选择是否符合通过的要求，点击右上角“批示”按钮，，输入同意或不同意的理由，即可完成本环节的审批工作，办件的具体流转与事项配置环节一致，办理环节直接在受理中心完成，办理中心需要操作受理以后的所有流程，每个事项至少有两个环节（受理和办结）。</w:t>
      </w:r>
    </w:p>
    <w:p>
      <w:r>
        <w:drawing>
          <wp:inline distT="0" distB="0" distL="114300" distR="114300">
            <wp:extent cx="5261610" cy="2376170"/>
            <wp:effectExtent l="0" t="0" r="15240" b="5080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9230" cy="2411095"/>
            <wp:effectExtent l="0" t="0" r="7620" b="8255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4"/>
        </w:numPr>
        <w:ind w:left="672" w:leftChars="0" w:hanging="672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审批人员可点击左侧【业务处理】→【业务查询】，进入事项查询页面，输入相关查询条件，例如：事项名称、办件编号、办件状态等筛选条件，准确找出某个办件或多个办件。</w:t>
      </w:r>
    </w:p>
    <w:p/>
    <w:p>
      <w:r>
        <w:drawing>
          <wp:inline distT="0" distB="0" distL="114300" distR="114300">
            <wp:extent cx="5269230" cy="2407285"/>
            <wp:effectExtent l="0" t="0" r="7620" b="12065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用户选择有个事项点击事项右侧详情或流程图，可对应查询到事项的基本信息、附件信息以及办理流程信息（见下图）</w:t>
      </w:r>
    </w:p>
    <w:p>
      <w:pPr>
        <w:bidi w:val="0"/>
        <w:ind w:firstLine="480" w:firstLineChars="200"/>
        <w:rPr>
          <w:rFonts w:hint="default"/>
          <w:sz w:val="24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2403475"/>
            <wp:effectExtent l="0" t="0" r="4445" b="15875"/>
            <wp:docPr id="2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三、分发查询 </w:t>
      </w:r>
    </w:p>
    <w:p>
      <w:pPr>
        <w:spacing w:line="360" w:lineRule="auto"/>
        <w:ind w:firstLine="45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审批人员可点击左侧【业务处理】→【分发查询】，进入事项查询页面，输入相关查询条件，例如：事项名称、办件编号、办件状态等筛选条件，准确找出某个办件或多个办件目前的办理进度；</w:t>
      </w:r>
    </w:p>
    <w:p>
      <w:pPr>
        <w:spacing w:line="360" w:lineRule="auto"/>
      </w:pPr>
      <w:r>
        <w:drawing>
          <wp:inline distT="0" distB="0" distL="114300" distR="114300">
            <wp:extent cx="5269230" cy="2418715"/>
            <wp:effectExtent l="0" t="0" r="7620" b="63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四、统一送达</w:t>
      </w:r>
    </w:p>
    <w:p>
      <w:pPr>
        <w:spacing w:line="360" w:lineRule="auto"/>
        <w:ind w:firstLine="45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企业或群众在申请某事项的过程中，结果送达方式如选择为“窗口”，则需要审批人员可点击左侧【业务处理】→【统一送达】，点击需要送达的某个事项的右侧“送达”按钮，则完成办理结果推送至窗口。</w:t>
      </w:r>
    </w:p>
    <w:p>
      <w:pPr>
        <w:spacing w:line="360" w:lineRule="auto"/>
        <w:ind w:firstLine="450"/>
        <w:rPr>
          <w:rFonts w:hint="eastAsia"/>
          <w:sz w:val="24"/>
          <w:szCs w:val="28"/>
          <w:lang w:val="en-US" w:eastAsia="zh-CN"/>
        </w:rPr>
      </w:pPr>
    </w:p>
    <w:p>
      <w:pPr>
        <w:spacing w:line="360" w:lineRule="auto"/>
        <w:ind w:firstLine="450"/>
        <w:rPr>
          <w:rFonts w:hint="eastAsia"/>
          <w:sz w:val="24"/>
          <w:szCs w:val="28"/>
          <w:lang w:val="en-US" w:eastAsia="zh-CN"/>
        </w:rPr>
      </w:pPr>
    </w:p>
    <w:p>
      <w:pPr>
        <w:spacing w:line="360" w:lineRule="auto"/>
      </w:pPr>
      <w:r>
        <w:drawing>
          <wp:inline distT="0" distB="0" distL="114300" distR="114300">
            <wp:extent cx="5269230" cy="2422525"/>
            <wp:effectExtent l="0" t="0" r="7620" b="1587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第二章 督查管理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一、督查督办回复</w:t>
      </w:r>
    </w:p>
    <w:p>
      <w:pPr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督查管理】→【督查督办回复】，此功能主要用于本环节即将逾期的办件，由上级部门或本级部门对于某个事项的某个环节进行督促办理，本级部门要对于领导的督办做出回复。用户只需进入督办查询页面点击回复按钮，响应领导的批示，填写完成后点击底部保存按钮即可。</w:t>
      </w:r>
    </w:p>
    <w:p>
      <w:pPr>
        <w:spacing w:line="360" w:lineRule="auto"/>
      </w:pPr>
      <w:r>
        <w:drawing>
          <wp:inline distT="0" distB="0" distL="114300" distR="114300">
            <wp:extent cx="5271135" cy="2381885"/>
            <wp:effectExtent l="0" t="0" r="5715" b="1841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 统计分析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一、办件汇总统计</w:t>
      </w:r>
    </w:p>
    <w:p>
      <w:pPr>
        <w:spacing w:line="360" w:lineRule="auto"/>
        <w:ind w:firstLine="450"/>
        <w:rPr>
          <w:rFonts w:hint="eastAsia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审批人员可点击左侧【统计分析】→【办件汇总统计】，进入办件汇总统计页面，选择查询范围（</w:t>
      </w:r>
      <w:r>
        <w:rPr>
          <w:rFonts w:hint="eastAsia"/>
          <w:lang w:val="en-US" w:eastAsia="zh-CN"/>
        </w:rPr>
        <w:t>年、月、周、日</w:t>
      </w:r>
      <w:r>
        <w:rPr>
          <w:rFonts w:hint="eastAsia"/>
          <w:sz w:val="24"/>
          <w:szCs w:val="28"/>
          <w:lang w:val="en-US" w:eastAsia="zh-CN"/>
        </w:rPr>
        <w:t>），检索或导出，</w:t>
      </w:r>
      <w:r>
        <w:rPr>
          <w:rFonts w:hint="eastAsia"/>
          <w:lang w:val="en-US" w:eastAsia="zh-CN"/>
        </w:rPr>
        <w:t xml:space="preserve">本部门不同的周期内收取的即办件和承诺件的总量。  </w:t>
      </w:r>
    </w:p>
    <w:p>
      <w:pPr>
        <w:spacing w:line="360" w:lineRule="auto"/>
      </w:pPr>
      <w:r>
        <w:drawing>
          <wp:inline distT="0" distB="0" distL="114300" distR="114300">
            <wp:extent cx="5266055" cy="1838325"/>
            <wp:effectExtent l="0" t="0" r="10795" b="952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二、事务分析表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审批人员可点击左侧【统计分析】→【事务分析表】，进入事务分析表页面，选择查询范围（</w:t>
      </w:r>
      <w:r>
        <w:rPr>
          <w:rFonts w:hint="eastAsia"/>
          <w:lang w:val="en-US" w:eastAsia="zh-CN"/>
        </w:rPr>
        <w:t>年、月、周、日</w:t>
      </w:r>
      <w:r>
        <w:rPr>
          <w:rFonts w:hint="eastAsia"/>
          <w:sz w:val="24"/>
          <w:szCs w:val="28"/>
          <w:lang w:val="en-US" w:eastAsia="zh-CN"/>
        </w:rPr>
        <w:t>），检索或导出，本部门所收取的办件总数以及不同办理状态（受理、在办、办结、不予受理）等办件数量。</w:t>
      </w:r>
    </w:p>
    <w:p>
      <w:pPr>
        <w:spacing w:line="360" w:lineRule="auto"/>
        <w:rPr>
          <w:rFonts w:hint="default"/>
          <w:sz w:val="24"/>
          <w:szCs w:val="28"/>
          <w:lang w:val="en-US" w:eastAsia="zh-CN"/>
        </w:rPr>
      </w:pPr>
      <w:r>
        <w:drawing>
          <wp:inline distT="0" distB="0" distL="114300" distR="114300">
            <wp:extent cx="5265420" cy="1805305"/>
            <wp:effectExtent l="0" t="0" r="11430" b="444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三、单位限时办结率统计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审批人员可点击左侧【统计分析】→【单位限时办结率统计】，进入该页面，选择查询范围（年、月、周、日），检索或导出，本部门受理数量、办结数量以及限时办结率等数据。</w:t>
      </w:r>
    </w:p>
    <w:p>
      <w:pPr>
        <w:spacing w:line="360" w:lineRule="auto"/>
      </w:pPr>
      <w:r>
        <w:drawing>
          <wp:inline distT="0" distB="0" distL="114300" distR="114300">
            <wp:extent cx="5269230" cy="1774825"/>
            <wp:effectExtent l="0" t="0" r="7620" b="15875"/>
            <wp:docPr id="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四、办件情况统计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审批人员可点击左侧【统计分析】→【办件情况统计】，进入办件情况统计页面，选择查询范围（年、月、周、日），检索或导出，本部门今日受理数量、今日办结数量以及今日超期数量等数据。</w:t>
      </w:r>
    </w:p>
    <w:p>
      <w:p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1689735"/>
            <wp:effectExtent l="0" t="0" r="11430" b="5715"/>
            <wp:docPr id="2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五、办件超期统计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审批人员可点击左侧【统计分析】→【办件超期统计】，进入办件超期统计页面，选择查询范围（年、月、周、日），检索或导出，本部门超期办结办件数量、超期未办结办件数量。</w:t>
      </w:r>
    </w:p>
    <w:p>
      <w:pPr>
        <w:spacing w:line="360" w:lineRule="auto"/>
        <w:rPr>
          <w:rFonts w:hint="eastAsia"/>
          <w:sz w:val="24"/>
          <w:szCs w:val="28"/>
          <w:lang w:val="en-US" w:eastAsia="zh-CN"/>
        </w:rPr>
      </w:pPr>
      <w:r>
        <w:drawing>
          <wp:inline distT="0" distB="0" distL="114300" distR="114300">
            <wp:extent cx="5269230" cy="1550670"/>
            <wp:effectExtent l="0" t="0" r="7620" b="11430"/>
            <wp:docPr id="3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第四章 图表分析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一、业务量统计分析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审批人员可点击【左侧图表分析】→【业务量统计分析】，进入该页面，选择查询范围（</w:t>
      </w:r>
      <w:r>
        <w:rPr>
          <w:rFonts w:hint="eastAsia"/>
          <w:lang w:val="en-US" w:eastAsia="zh-CN"/>
        </w:rPr>
        <w:t>年、月、周、日</w:t>
      </w:r>
      <w:r>
        <w:rPr>
          <w:rFonts w:hint="eastAsia"/>
          <w:sz w:val="24"/>
          <w:szCs w:val="28"/>
          <w:lang w:val="en-US" w:eastAsia="zh-CN"/>
        </w:rPr>
        <w:t>），统计出，本部门所收取的办件总数以及办理总数数据图表展示。</w:t>
      </w:r>
    </w:p>
    <w:p>
      <w:pPr>
        <w:spacing w:line="360" w:lineRule="auto"/>
      </w:pPr>
      <w:r>
        <w:drawing>
          <wp:inline distT="0" distB="0" distL="114300" distR="114300">
            <wp:extent cx="5272405" cy="2073910"/>
            <wp:effectExtent l="0" t="0" r="4445" b="2540"/>
            <wp:docPr id="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二、业务办结时限分析</w:t>
      </w:r>
    </w:p>
    <w:p>
      <w:pPr>
        <w:spacing w:line="360" w:lineRule="auto"/>
        <w:ind w:firstLine="480" w:firstLineChars="200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审批人员可点击【左侧图表分析】→【业务办结时限分析】，进入该页面，选择查询范围（</w:t>
      </w:r>
      <w:r>
        <w:rPr>
          <w:rFonts w:hint="eastAsia"/>
          <w:lang w:val="en-US" w:eastAsia="zh-CN"/>
        </w:rPr>
        <w:t>年、月、周、日</w:t>
      </w:r>
      <w:r>
        <w:rPr>
          <w:rFonts w:hint="eastAsia"/>
          <w:sz w:val="24"/>
          <w:szCs w:val="28"/>
          <w:lang w:val="en-US" w:eastAsia="zh-CN"/>
        </w:rPr>
        <w:t>），统计出，本部门所收取的不同类型（正常办结、超期办结、补办办结、作废办结）办结的办件数量数据图表。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1610" cy="2303145"/>
            <wp:effectExtent l="0" t="0" r="15240" b="1905"/>
            <wp:docPr id="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综合监察成效分析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审批人员可点击【左侧图表分析】→【综合监察成效分析】，进入该页面，选择查询范围（年、月、周、日），统计出，本部门所受理办件、正常办结、提前办结、超期办结等数据图表。</w:t>
      </w:r>
    </w:p>
    <w:p>
      <w:pPr>
        <w:spacing w:line="360" w:lineRule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021205"/>
            <wp:effectExtent l="0" t="0" r="7620" b="17145"/>
            <wp:docPr id="3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四、预警纠错分析</w:t>
      </w:r>
    </w:p>
    <w:p>
      <w:pPr>
        <w:spacing w:line="360" w:lineRule="auto"/>
        <w:ind w:firstLine="480" w:firstLineChars="20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审批人员可点击【左侧图表分析】→【预警纠错分析】，进入该页面，选择查询范围（年、月、周、日），统计出，本部门正常业务、预警业务、超期业务。</w:t>
      </w:r>
    </w:p>
    <w:p>
      <w:pPr>
        <w:spacing w:line="360" w:lineRule="auto"/>
        <w:rPr>
          <w:rFonts w:hint="default"/>
          <w:sz w:val="24"/>
          <w:szCs w:val="28"/>
          <w:lang w:val="en-US" w:eastAsia="zh-CN"/>
        </w:rPr>
      </w:pPr>
      <w:r>
        <w:drawing>
          <wp:inline distT="0" distB="0" distL="114300" distR="114300">
            <wp:extent cx="5270500" cy="2228215"/>
            <wp:effectExtent l="0" t="0" r="6350" b="635"/>
            <wp:docPr id="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p/>
    <w:p/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pict>
        <v:shape id="_x0000_s3097" o:spid="_x0000_s309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1"/>
      </w:rPr>
      <w:pict>
        <v:shape id="_x0000_s3098" o:spid="_x0000_s3098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pict>
        <v:shape id="_x0000_s3095" o:spid="_x0000_s309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w:pict>
        <v:shape id="_x0000_s3096" o:spid="_x0000_s309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Fonts w:hint="default"/>
        <w:color w:val="000000" w:themeColor="text1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30BF7"/>
    <w:multiLevelType w:val="singleLevel"/>
    <w:tmpl w:val="08430BF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A44F7F"/>
    <w:multiLevelType w:val="multilevel"/>
    <w:tmpl w:val="0BA44F7F"/>
    <w:lvl w:ilvl="0" w:tentative="0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482FED"/>
    <w:multiLevelType w:val="singleLevel"/>
    <w:tmpl w:val="27482F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F6D3199"/>
    <w:multiLevelType w:val="multilevel"/>
    <w:tmpl w:val="5F6D3199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041B"/>
    <w:rsid w:val="0001041B"/>
    <w:rsid w:val="0001195C"/>
    <w:rsid w:val="00014B6F"/>
    <w:rsid w:val="00024E31"/>
    <w:rsid w:val="00052DB8"/>
    <w:rsid w:val="00062EFF"/>
    <w:rsid w:val="000761B7"/>
    <w:rsid w:val="00083D60"/>
    <w:rsid w:val="00086C81"/>
    <w:rsid w:val="000C6903"/>
    <w:rsid w:val="00105181"/>
    <w:rsid w:val="00105F00"/>
    <w:rsid w:val="001571E8"/>
    <w:rsid w:val="00163BF4"/>
    <w:rsid w:val="00176DD4"/>
    <w:rsid w:val="00182215"/>
    <w:rsid w:val="001852B4"/>
    <w:rsid w:val="001931F6"/>
    <w:rsid w:val="00193DD9"/>
    <w:rsid w:val="001B3D4A"/>
    <w:rsid w:val="001E7CD3"/>
    <w:rsid w:val="00215A05"/>
    <w:rsid w:val="00227ED3"/>
    <w:rsid w:val="00255D70"/>
    <w:rsid w:val="0025772D"/>
    <w:rsid w:val="002636E8"/>
    <w:rsid w:val="00265272"/>
    <w:rsid w:val="002D02AE"/>
    <w:rsid w:val="003238A7"/>
    <w:rsid w:val="0032511B"/>
    <w:rsid w:val="00340B1D"/>
    <w:rsid w:val="003518BD"/>
    <w:rsid w:val="003C79BF"/>
    <w:rsid w:val="003E185F"/>
    <w:rsid w:val="00400780"/>
    <w:rsid w:val="0040177D"/>
    <w:rsid w:val="00404A6A"/>
    <w:rsid w:val="004406CF"/>
    <w:rsid w:val="00440DF4"/>
    <w:rsid w:val="00456467"/>
    <w:rsid w:val="00462C2D"/>
    <w:rsid w:val="004A6F8E"/>
    <w:rsid w:val="004B36EA"/>
    <w:rsid w:val="004B62D1"/>
    <w:rsid w:val="004B761A"/>
    <w:rsid w:val="00526A87"/>
    <w:rsid w:val="005564FE"/>
    <w:rsid w:val="00567C89"/>
    <w:rsid w:val="00576A92"/>
    <w:rsid w:val="00577FEA"/>
    <w:rsid w:val="0059579B"/>
    <w:rsid w:val="005B1F43"/>
    <w:rsid w:val="005B55BB"/>
    <w:rsid w:val="005D41C9"/>
    <w:rsid w:val="005E4E02"/>
    <w:rsid w:val="006056DF"/>
    <w:rsid w:val="006423D7"/>
    <w:rsid w:val="00670AC2"/>
    <w:rsid w:val="006A1B2E"/>
    <w:rsid w:val="006A5066"/>
    <w:rsid w:val="006C5327"/>
    <w:rsid w:val="006D2FC7"/>
    <w:rsid w:val="00703A8A"/>
    <w:rsid w:val="00734A79"/>
    <w:rsid w:val="00743500"/>
    <w:rsid w:val="0074466E"/>
    <w:rsid w:val="007465AA"/>
    <w:rsid w:val="007634E2"/>
    <w:rsid w:val="00767041"/>
    <w:rsid w:val="0077669F"/>
    <w:rsid w:val="00776FD8"/>
    <w:rsid w:val="007B0A0F"/>
    <w:rsid w:val="007B2D55"/>
    <w:rsid w:val="007B5D7B"/>
    <w:rsid w:val="007C1385"/>
    <w:rsid w:val="007C6DE1"/>
    <w:rsid w:val="007D6B2A"/>
    <w:rsid w:val="007F121D"/>
    <w:rsid w:val="008079BB"/>
    <w:rsid w:val="00863432"/>
    <w:rsid w:val="00883334"/>
    <w:rsid w:val="008A1089"/>
    <w:rsid w:val="008B7710"/>
    <w:rsid w:val="008C4EF8"/>
    <w:rsid w:val="008C5A04"/>
    <w:rsid w:val="008E216F"/>
    <w:rsid w:val="008F67EB"/>
    <w:rsid w:val="00923F29"/>
    <w:rsid w:val="00942307"/>
    <w:rsid w:val="009527E1"/>
    <w:rsid w:val="00974A89"/>
    <w:rsid w:val="00993E18"/>
    <w:rsid w:val="009A0066"/>
    <w:rsid w:val="009A5B27"/>
    <w:rsid w:val="009B61BE"/>
    <w:rsid w:val="009C78C5"/>
    <w:rsid w:val="009F2CEB"/>
    <w:rsid w:val="00A02913"/>
    <w:rsid w:val="00A15E74"/>
    <w:rsid w:val="00A66151"/>
    <w:rsid w:val="00A83E0B"/>
    <w:rsid w:val="00AC3200"/>
    <w:rsid w:val="00AE406A"/>
    <w:rsid w:val="00AE7448"/>
    <w:rsid w:val="00AE787A"/>
    <w:rsid w:val="00B0094C"/>
    <w:rsid w:val="00B24F3D"/>
    <w:rsid w:val="00B32B4F"/>
    <w:rsid w:val="00B81D81"/>
    <w:rsid w:val="00BB6C15"/>
    <w:rsid w:val="00BD411D"/>
    <w:rsid w:val="00BD5A32"/>
    <w:rsid w:val="00BE4B18"/>
    <w:rsid w:val="00C02BBB"/>
    <w:rsid w:val="00C30904"/>
    <w:rsid w:val="00C3651B"/>
    <w:rsid w:val="00C547F5"/>
    <w:rsid w:val="00C61CE9"/>
    <w:rsid w:val="00C62C0D"/>
    <w:rsid w:val="00C67F13"/>
    <w:rsid w:val="00C760A4"/>
    <w:rsid w:val="00CC0783"/>
    <w:rsid w:val="00CE7BDD"/>
    <w:rsid w:val="00CF4CF0"/>
    <w:rsid w:val="00D106EF"/>
    <w:rsid w:val="00D25081"/>
    <w:rsid w:val="00D356E4"/>
    <w:rsid w:val="00D57EE6"/>
    <w:rsid w:val="00D679AE"/>
    <w:rsid w:val="00D81997"/>
    <w:rsid w:val="00D90150"/>
    <w:rsid w:val="00DC6A61"/>
    <w:rsid w:val="00DF4EEA"/>
    <w:rsid w:val="00E11798"/>
    <w:rsid w:val="00E16A4C"/>
    <w:rsid w:val="00E61211"/>
    <w:rsid w:val="00E74ECA"/>
    <w:rsid w:val="00E9372E"/>
    <w:rsid w:val="00EC1544"/>
    <w:rsid w:val="00EC2756"/>
    <w:rsid w:val="00ED46B0"/>
    <w:rsid w:val="00FE05EC"/>
    <w:rsid w:val="03053462"/>
    <w:rsid w:val="035121E3"/>
    <w:rsid w:val="054538C8"/>
    <w:rsid w:val="07523287"/>
    <w:rsid w:val="0A382C7D"/>
    <w:rsid w:val="0CC749E1"/>
    <w:rsid w:val="137E6080"/>
    <w:rsid w:val="159B3799"/>
    <w:rsid w:val="16B322AD"/>
    <w:rsid w:val="17F46F69"/>
    <w:rsid w:val="191D7D97"/>
    <w:rsid w:val="1A5F730D"/>
    <w:rsid w:val="1A9844F1"/>
    <w:rsid w:val="1B2C070C"/>
    <w:rsid w:val="1B35592D"/>
    <w:rsid w:val="1BAD2978"/>
    <w:rsid w:val="1C3F79D4"/>
    <w:rsid w:val="1CCD2D4D"/>
    <w:rsid w:val="1FA67081"/>
    <w:rsid w:val="208B23A5"/>
    <w:rsid w:val="286D08BC"/>
    <w:rsid w:val="289575CD"/>
    <w:rsid w:val="29020510"/>
    <w:rsid w:val="2D8B2B1E"/>
    <w:rsid w:val="2EE4514E"/>
    <w:rsid w:val="2EE545C8"/>
    <w:rsid w:val="2EFB13E2"/>
    <w:rsid w:val="30DF140E"/>
    <w:rsid w:val="36AC08FF"/>
    <w:rsid w:val="38C36E26"/>
    <w:rsid w:val="3D714F99"/>
    <w:rsid w:val="3FEA5384"/>
    <w:rsid w:val="40713C64"/>
    <w:rsid w:val="457F5D30"/>
    <w:rsid w:val="46195E63"/>
    <w:rsid w:val="467321B7"/>
    <w:rsid w:val="472068A0"/>
    <w:rsid w:val="476E19BE"/>
    <w:rsid w:val="479A5BF8"/>
    <w:rsid w:val="4A0E5D25"/>
    <w:rsid w:val="4BF85034"/>
    <w:rsid w:val="4C436149"/>
    <w:rsid w:val="4CD224AC"/>
    <w:rsid w:val="4D473D2A"/>
    <w:rsid w:val="502F469C"/>
    <w:rsid w:val="51475690"/>
    <w:rsid w:val="51524AEF"/>
    <w:rsid w:val="52236086"/>
    <w:rsid w:val="54600C35"/>
    <w:rsid w:val="5ABD1FCC"/>
    <w:rsid w:val="5F15654A"/>
    <w:rsid w:val="62013C3B"/>
    <w:rsid w:val="63C33C49"/>
    <w:rsid w:val="65F224FC"/>
    <w:rsid w:val="66A47E21"/>
    <w:rsid w:val="68305336"/>
    <w:rsid w:val="68985177"/>
    <w:rsid w:val="6A291CD4"/>
    <w:rsid w:val="6B5F10D5"/>
    <w:rsid w:val="6EE21F2E"/>
    <w:rsid w:val="700C48D5"/>
    <w:rsid w:val="70215FDD"/>
    <w:rsid w:val="73C02530"/>
    <w:rsid w:val="78094AB1"/>
    <w:rsid w:val="7A176711"/>
    <w:rsid w:val="7F3B0B6E"/>
    <w:rsid w:val="7FF2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2">
    <w:name w:val="标题 3 字符"/>
    <w:basedOn w:val="14"/>
    <w:link w:val="4"/>
    <w:qFormat/>
    <w:uiPriority w:val="9"/>
    <w:rPr>
      <w:b/>
      <w:bCs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numbering" Target="numbering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97"/>
    <customShpInfo spid="_x0000_s3098"/>
    <customShpInfo spid="_x0000_s3095"/>
    <customShpInfo spid="_x0000_s30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66339-E4C0-4925-8FE2-F9058A800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479</Words>
  <Characters>2731</Characters>
  <Lines>22</Lines>
  <Paragraphs>6</Paragraphs>
  <TotalTime>0</TotalTime>
  <ScaleCrop>false</ScaleCrop>
  <LinksUpToDate>false</LinksUpToDate>
  <CharactersWithSpaces>3204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2016-10-18T03:06:00Z</dcterms:created>
  <dc:creator>杨洋</dc:creator>
  <cp:lastModifiedBy>Mr.xu</cp:lastModifiedBy>
  <dcterms:modified xsi:type="dcterms:W3CDTF">2022-03-18T07:41:50Z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D1E342ED65EC4A1DB7E054E83FA19780</vt:lpwstr>
  </property>
</Properties>
</file>